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charts/chart2.xml" ContentType="application/vnd.openxmlformats-officedocument.drawingml.chart+xml"/>
  <Override PartName="/word/drawings/drawing1.xml" ContentType="application/vnd.openxmlformats-officedocument.drawingml.chartshapes+xml"/>
  <Override PartName="/word/charts/chart3.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harts/colors1.xml" ContentType="application/vnd.ms-office.chartcolorstyle+xml"/>
  <Override PartName="/word/charts/style1.xml" ContentType="application/vnd.ms-office.chartstyle+xml"/>
  <Override PartName="/word/charts/style2.xml" ContentType="application/vnd.ms-office.chartstyle+xml"/>
  <Override PartName="/word/charts/colors2.xml" ContentType="application/vnd.ms-office.chartcolorstyle+xml"/>
  <Override PartName="/word/charts/colors3.xml" ContentType="application/vnd.ms-office.chartcolorstyle+xml"/>
  <Override PartName="/word/charts/style3.xml" ContentType="application/vnd.ms-office.chartsty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042BDE6" w14:textId="77777777" w:rsidR="00895FED" w:rsidRDefault="00895FED" w:rsidP="0046461A">
      <w:pPr>
        <w:contextualSpacing/>
      </w:pPr>
      <w:r>
        <w:t>The Logic of American Politics, 7th Edition</w:t>
      </w:r>
    </w:p>
    <w:p w14:paraId="6B7BE0EA" w14:textId="77777777" w:rsidR="00895FED" w:rsidRDefault="00895FED" w:rsidP="0046461A">
      <w:pPr>
        <w:contextualSpacing/>
      </w:pPr>
      <w:r>
        <w:t>Samuel Kernell, Gary C. Jacobson, Thad Kousser, and Lynn Vavreck</w:t>
      </w:r>
    </w:p>
    <w:p w14:paraId="0E8C0656" w14:textId="7445FD69" w:rsidR="00895FED" w:rsidRDefault="00895FED" w:rsidP="0046461A">
      <w:pPr>
        <w:contextualSpacing/>
      </w:pPr>
      <w:r>
        <w:t>Da</w:t>
      </w:r>
      <w:r w:rsidR="0046461A">
        <w:t xml:space="preserve">ta Literacy Exercises: Chapter </w:t>
      </w:r>
      <w:r>
        <w:t>9</w:t>
      </w:r>
    </w:p>
    <w:p w14:paraId="6DB661BA" w14:textId="77777777" w:rsidR="00895FED" w:rsidRDefault="00895FED" w:rsidP="0046461A">
      <w:pPr>
        <w:contextualSpacing/>
      </w:pPr>
    </w:p>
    <w:p w14:paraId="29625064" w14:textId="5ABE3F3D" w:rsidR="00C47EA7" w:rsidRDefault="005C3741" w:rsidP="0046461A">
      <w:pPr>
        <w:contextualSpacing/>
      </w:pPr>
      <w:r>
        <w:t>Table</w:t>
      </w:r>
      <w:r w:rsidR="004741E9">
        <w:t xml:space="preserve"> 9-1</w:t>
      </w:r>
      <w:r w:rsidR="00715D25">
        <w:t xml:space="preserve"> </w:t>
      </w:r>
    </w:p>
    <w:p w14:paraId="4AB5101A" w14:textId="313BB84C" w:rsidR="005C3741" w:rsidRDefault="005C3741" w:rsidP="0046461A">
      <w:pPr>
        <w:contextualSpacing/>
      </w:pPr>
      <w:r>
        <w:rPr>
          <w:noProof/>
        </w:rPr>
        <w:drawing>
          <wp:inline distT="0" distB="0" distL="0" distR="0" wp14:anchorId="5B1A04D0" wp14:editId="3DE27771">
            <wp:extent cx="2295144" cy="6358128"/>
            <wp:effectExtent l="0" t="0" r="0" b="508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ernell_7e_Table 9.1.jpg"/>
                    <pic:cNvPicPr/>
                  </pic:nvPicPr>
                  <pic:blipFill>
                    <a:blip r:embed="rId5">
                      <a:extLst>
                        <a:ext uri="{28A0092B-C50C-407E-A947-70E740481C1C}">
                          <a14:useLocalDpi xmlns:a14="http://schemas.microsoft.com/office/drawing/2010/main" val="0"/>
                        </a:ext>
                      </a:extLst>
                    </a:blip>
                    <a:stretch>
                      <a:fillRect/>
                    </a:stretch>
                  </pic:blipFill>
                  <pic:spPr>
                    <a:xfrm>
                      <a:off x="0" y="0"/>
                      <a:ext cx="2295144" cy="6358128"/>
                    </a:xfrm>
                    <a:prstGeom prst="rect">
                      <a:avLst/>
                    </a:prstGeom>
                  </pic:spPr>
                </pic:pic>
              </a:graphicData>
            </a:graphic>
          </wp:inline>
        </w:drawing>
      </w:r>
    </w:p>
    <w:p w14:paraId="0C8D80EB" w14:textId="4F8CEE30" w:rsidR="00DF02D7" w:rsidRDefault="00DF02D7" w:rsidP="0046461A">
      <w:pPr>
        <w:contextualSpacing/>
      </w:pPr>
    </w:p>
    <w:p w14:paraId="0743B267" w14:textId="21BD26BF" w:rsidR="00895FED" w:rsidRDefault="005C3741" w:rsidP="0046461A">
      <w:pPr>
        <w:contextualSpacing/>
      </w:pPr>
      <w:proofErr w:type="gramStart"/>
      <w:r w:rsidRPr="005C3741">
        <w:rPr>
          <w:b/>
        </w:rPr>
        <w:t>Learning objective:</w:t>
      </w:r>
      <w:r>
        <w:t xml:space="preserve"> 9.2 </w:t>
      </w:r>
      <w:r w:rsidR="004741E9" w:rsidRPr="004741E9">
        <w:t>Identify characteristics of the three eras of judicial review exercised by the Court.</w:t>
      </w:r>
      <w:proofErr w:type="gramEnd"/>
    </w:p>
    <w:p w14:paraId="300CC0F1" w14:textId="77777777" w:rsidR="005C3741" w:rsidRDefault="005C3741" w:rsidP="0046461A">
      <w:pPr>
        <w:contextualSpacing/>
      </w:pPr>
    </w:p>
    <w:p w14:paraId="5EE07044" w14:textId="1D5D865E" w:rsidR="00147123" w:rsidRDefault="00106360" w:rsidP="0046461A">
      <w:pPr>
        <w:contextualSpacing/>
      </w:pPr>
      <w:r w:rsidRPr="00106360">
        <w:t>Discuss the Supreme Court’s place in the separation of powers and the role of principal-agent</w:t>
      </w:r>
      <w:r w:rsidR="00895FED">
        <w:t>.</w:t>
      </w:r>
    </w:p>
    <w:p w14:paraId="151DD5E8" w14:textId="42998787" w:rsidR="00715D25" w:rsidRDefault="00715D25" w:rsidP="0046461A">
      <w:pPr>
        <w:contextualSpacing/>
      </w:pPr>
      <w:r>
        <w:lastRenderedPageBreak/>
        <w:t xml:space="preserve">Table 9-1 strongly indicates increased activity in declaring federal and state laws unconstitutional by the U.S. Supreme Court at four important points in our history.  The text mentions the rationale for these </w:t>
      </w:r>
      <w:r w:rsidR="00DF02D7">
        <w:t>four</w:t>
      </w:r>
      <w:r>
        <w:t xml:space="preserve"> periods—the increased mandate given to the court by congress in overseeing the 14</w:t>
      </w:r>
      <w:r w:rsidRPr="00715D25">
        <w:rPr>
          <w:vertAlign w:val="superscript"/>
        </w:rPr>
        <w:t>th</w:t>
      </w:r>
      <w:r>
        <w:t xml:space="preserve"> and 15</w:t>
      </w:r>
      <w:r w:rsidRPr="00715D25">
        <w:rPr>
          <w:vertAlign w:val="superscript"/>
        </w:rPr>
        <w:t>th</w:t>
      </w:r>
      <w:r>
        <w:t xml:space="preserve"> Amendments, the rise of Progressive regulation of the economy, the Civil Liberties and Rights revolution, and, most recently, the movement to reaffirm states’ rights over federal intrusion.  </w:t>
      </w:r>
    </w:p>
    <w:p w14:paraId="7CF702A1" w14:textId="77777777" w:rsidR="005C3741" w:rsidRDefault="005C3741" w:rsidP="0046461A">
      <w:pPr>
        <w:contextualSpacing/>
      </w:pPr>
    </w:p>
    <w:p w14:paraId="290D006A" w14:textId="3046546B" w:rsidR="00715D25" w:rsidRDefault="00715D25" w:rsidP="0046461A">
      <w:pPr>
        <w:contextualSpacing/>
      </w:pPr>
      <w:r>
        <w:t>The number of state laws deemed unconstitutional</w:t>
      </w:r>
      <w:r w:rsidR="00DF02D7">
        <w:t xml:space="preserve"> exceeds the number of federal laws</w:t>
      </w:r>
      <w:r>
        <w:t xml:space="preserve">, but part of the reason for that is the simple </w:t>
      </w:r>
      <w:r w:rsidR="00DF02D7">
        <w:t>fact that there are many states.  What is interesting is that, for the most part, the number of federal and state laws deemed unconstitutional seems to rise and fall in rough unison</w:t>
      </w:r>
      <w:r w:rsidR="005D02E4">
        <w:t>, but the balance between state and federal statutes has changed over time, particularly since 1990</w:t>
      </w:r>
      <w:r w:rsidR="00DF02D7">
        <w:t xml:space="preserve">.  </w:t>
      </w:r>
      <w:r w:rsidR="00EF7120">
        <w:t>The first chart displays the number of Federal and State statutes ruled unconstitutional by the Supreme Court</w:t>
      </w:r>
      <w:r w:rsidR="00EF7120" w:rsidRPr="00EF7120">
        <w:t xml:space="preserve"> </w:t>
      </w:r>
      <w:r w:rsidR="00EF7120">
        <w:t xml:space="preserve">since 1860, the first period of judicial activism.  </w:t>
      </w:r>
      <w:r w:rsidR="005D02E4">
        <w:t>An adjustment has been made to reflect the increase in the number of states from 37 to 50 during this period.</w:t>
      </w:r>
      <w:r w:rsidR="00D94388">
        <w:t xml:space="preserve">  </w:t>
      </w:r>
      <w:r w:rsidR="00EF7120">
        <w:t xml:space="preserve">The second chart shows overturned federal laws as a proportion of all overturned laws.  </w:t>
      </w:r>
      <w:r w:rsidR="00D94388">
        <w:t xml:space="preserve">The horizontal line, set at 15.7%, represents the adjusted mean per decade.  What is most interesting is that, even with the increase in state cases involving violations of the Civil and Voting Rights Acts of the mid-1960s, the court has increasingly focused in on national legislation since the 1990s, demonstrating the modern courts movement to a more states’ rights philosophy.  In the present decade, the number of federal cases ruled unconstitutional represents nearly half of all </w:t>
      </w:r>
      <w:r w:rsidR="000E7489">
        <w:t>such cases.  Most of this is due to the decrease in number of state laws thus ruled, not so much an increase on the federal side.</w:t>
      </w:r>
    </w:p>
    <w:p w14:paraId="6C9A77E8" w14:textId="77777777" w:rsidR="005C3741" w:rsidRDefault="005C3741" w:rsidP="0046461A">
      <w:pPr>
        <w:contextualSpacing/>
      </w:pPr>
    </w:p>
    <w:p w14:paraId="20B74830" w14:textId="5547114F" w:rsidR="005D02E4" w:rsidRDefault="00EF7120" w:rsidP="0046461A">
      <w:pPr>
        <w:contextualSpacing/>
        <w:jc w:val="center"/>
      </w:pPr>
      <w:r>
        <w:rPr>
          <w:noProof/>
        </w:rPr>
        <w:drawing>
          <wp:inline distT="0" distB="0" distL="0" distR="0" wp14:anchorId="226FDBAB" wp14:editId="177A54D8">
            <wp:extent cx="4276725" cy="3305175"/>
            <wp:effectExtent l="0" t="0" r="9525" b="9525"/>
            <wp:docPr id="2"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6"/>
              </a:graphicData>
            </a:graphic>
          </wp:inline>
        </w:drawing>
      </w:r>
    </w:p>
    <w:p w14:paraId="062701BC" w14:textId="77777777" w:rsidR="00D94388" w:rsidRDefault="00D94388" w:rsidP="0046461A">
      <w:pPr>
        <w:contextualSpacing/>
        <w:jc w:val="center"/>
      </w:pPr>
      <w:r>
        <w:rPr>
          <w:noProof/>
        </w:rPr>
        <w:lastRenderedPageBreak/>
        <w:drawing>
          <wp:inline distT="0" distB="0" distL="0" distR="0" wp14:anchorId="4E61ED96" wp14:editId="39C55593">
            <wp:extent cx="4324350" cy="2743200"/>
            <wp:effectExtent l="0" t="0" r="0" b="0"/>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7"/>
              </a:graphicData>
            </a:graphic>
          </wp:inline>
        </w:drawing>
      </w:r>
    </w:p>
    <w:p w14:paraId="24EA1C74" w14:textId="77777777" w:rsidR="000E7489" w:rsidRDefault="000E7489" w:rsidP="0046461A">
      <w:pPr>
        <w:contextualSpacing/>
      </w:pPr>
    </w:p>
    <w:p w14:paraId="0117C87D" w14:textId="77777777" w:rsidR="005C3741" w:rsidRDefault="005C3741" w:rsidP="0046461A">
      <w:pPr>
        <w:contextualSpacing/>
      </w:pPr>
    </w:p>
    <w:p w14:paraId="44526090" w14:textId="1B615C1F" w:rsidR="000E7489" w:rsidRPr="005C3741" w:rsidRDefault="005C3741" w:rsidP="0046461A">
      <w:pPr>
        <w:contextualSpacing/>
        <w:rPr>
          <w:b/>
        </w:rPr>
      </w:pPr>
      <w:r w:rsidRPr="005C3741">
        <w:rPr>
          <w:b/>
        </w:rPr>
        <w:t>Questions to Consider:</w:t>
      </w:r>
    </w:p>
    <w:p w14:paraId="7EA1AC71" w14:textId="77777777" w:rsidR="005C3741" w:rsidRDefault="005C3741" w:rsidP="0046461A">
      <w:pPr>
        <w:contextualSpacing/>
      </w:pPr>
    </w:p>
    <w:p w14:paraId="0223B0B4" w14:textId="087311DF" w:rsidR="00EF7120" w:rsidRDefault="005C3741" w:rsidP="0046461A">
      <w:pPr>
        <w:contextualSpacing/>
      </w:pPr>
      <w:r>
        <w:t xml:space="preserve">1. </w:t>
      </w:r>
      <w:r w:rsidR="00EF7120">
        <w:t>The number of state statutes ruled unconstitutional by the U.S. Supreme Court has, with minor exception, always exceeded the number of unconstitutionally rules federal statutes.</w:t>
      </w:r>
    </w:p>
    <w:p w14:paraId="41813CCE" w14:textId="77777777" w:rsidR="005C3741" w:rsidRDefault="005C3741" w:rsidP="0046461A">
      <w:pPr>
        <w:contextualSpacing/>
      </w:pPr>
      <w:r>
        <w:t>*a. True</w:t>
      </w:r>
    </w:p>
    <w:p w14:paraId="102744A3" w14:textId="77777777" w:rsidR="005C3741" w:rsidRDefault="005C3741" w:rsidP="0046461A">
      <w:pPr>
        <w:contextualSpacing/>
      </w:pPr>
      <w:r>
        <w:t>b. False</w:t>
      </w:r>
    </w:p>
    <w:p w14:paraId="64A2A27E" w14:textId="77777777" w:rsidR="005C3741" w:rsidRDefault="005C3741" w:rsidP="0046461A">
      <w:pPr>
        <w:contextualSpacing/>
      </w:pPr>
    </w:p>
    <w:p w14:paraId="041DE617" w14:textId="4E40B54E" w:rsidR="000E7489" w:rsidRDefault="005C3741" w:rsidP="0046461A">
      <w:pPr>
        <w:contextualSpacing/>
      </w:pPr>
      <w:r>
        <w:t xml:space="preserve">@ Feedback: </w:t>
      </w:r>
      <w:r w:rsidR="00EF7120">
        <w:t>If we don’t count the first two decades listed, state laws have always been the lion’s share of overruled laws.  This has been most evident during two periods of activism, 1910-1939 and 1960-1989.  Of course, states collectively produce more laws than a single national congress.</w:t>
      </w:r>
    </w:p>
    <w:p w14:paraId="234F0937" w14:textId="77777777" w:rsidR="00147123" w:rsidRDefault="00147123" w:rsidP="0046461A">
      <w:pPr>
        <w:contextualSpacing/>
      </w:pPr>
    </w:p>
    <w:p w14:paraId="1279F906" w14:textId="23786301" w:rsidR="00147123" w:rsidRDefault="005C3741" w:rsidP="0046461A">
      <w:pPr>
        <w:contextualSpacing/>
      </w:pPr>
      <w:r>
        <w:t xml:space="preserve">2. </w:t>
      </w:r>
      <w:r w:rsidR="00147123">
        <w:t>Through most periods of judicial activism, the number of state laws deemed unconstitutional has increased at a faster rate than federal laws.</w:t>
      </w:r>
    </w:p>
    <w:p w14:paraId="5C7AE5E4" w14:textId="77777777" w:rsidR="005C3741" w:rsidRDefault="005C3741" w:rsidP="0046461A">
      <w:pPr>
        <w:contextualSpacing/>
      </w:pPr>
      <w:r>
        <w:t>a. True</w:t>
      </w:r>
    </w:p>
    <w:p w14:paraId="2D247BF6" w14:textId="77777777" w:rsidR="005C3741" w:rsidRDefault="005C3741" w:rsidP="0046461A">
      <w:pPr>
        <w:contextualSpacing/>
      </w:pPr>
      <w:r>
        <w:t>*b. False</w:t>
      </w:r>
    </w:p>
    <w:p w14:paraId="7F8BB5E9" w14:textId="77777777" w:rsidR="005C3741" w:rsidRDefault="005C3741" w:rsidP="0046461A">
      <w:pPr>
        <w:contextualSpacing/>
      </w:pPr>
    </w:p>
    <w:p w14:paraId="2740AE87" w14:textId="2DCEA0C2" w:rsidR="00147123" w:rsidRDefault="005C3741" w:rsidP="0046461A">
      <w:pPr>
        <w:contextualSpacing/>
      </w:pPr>
      <w:r>
        <w:t xml:space="preserve">@ Feedback: </w:t>
      </w:r>
      <w:r w:rsidR="00147123">
        <w:t>Starting with the 1990s, the number of state laws in this category has decreased from the number from the period 1960-1989.  The corresponding number of federal laws in those two time periods hasn’t changed much.  This is indicative of the recent court’s movement to a states’ rights position.</w:t>
      </w:r>
    </w:p>
    <w:p w14:paraId="760436A6" w14:textId="77777777" w:rsidR="00147123" w:rsidRDefault="00147123" w:rsidP="0046461A">
      <w:pPr>
        <w:contextualSpacing/>
      </w:pPr>
    </w:p>
    <w:p w14:paraId="1AB18268" w14:textId="77777777" w:rsidR="00147123" w:rsidRDefault="00147123" w:rsidP="0046461A">
      <w:pPr>
        <w:contextualSpacing/>
      </w:pPr>
    </w:p>
    <w:p w14:paraId="3A0BE95C" w14:textId="4769ED41" w:rsidR="00147123" w:rsidRDefault="00147123" w:rsidP="0046461A">
      <w:pPr>
        <w:contextualSpacing/>
      </w:pPr>
      <w:r>
        <w:br w:type="page"/>
      </w:r>
    </w:p>
    <w:p w14:paraId="6DBEE0B9" w14:textId="2657F9DD" w:rsidR="00147123" w:rsidRDefault="00147123" w:rsidP="0046461A">
      <w:pPr>
        <w:contextualSpacing/>
      </w:pPr>
      <w:r>
        <w:lastRenderedPageBreak/>
        <w:t>Figure 9-3</w:t>
      </w:r>
    </w:p>
    <w:p w14:paraId="45BFA870" w14:textId="3BC0C8B6" w:rsidR="00895FED" w:rsidRDefault="00895FED" w:rsidP="0046461A">
      <w:pPr>
        <w:contextualSpacing/>
      </w:pPr>
      <w:r>
        <w:rPr>
          <w:noProof/>
        </w:rPr>
        <w:drawing>
          <wp:inline distT="0" distB="0" distL="0" distR="0" wp14:anchorId="099C332C" wp14:editId="46A27A93">
            <wp:extent cx="5943600" cy="3478328"/>
            <wp:effectExtent l="0" t="0" r="0" b="1905"/>
            <wp:docPr id="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43600" cy="3478328"/>
                    </a:xfrm>
                    <a:prstGeom prst="rect">
                      <a:avLst/>
                    </a:prstGeom>
                    <a:noFill/>
                    <a:ln>
                      <a:noFill/>
                    </a:ln>
                  </pic:spPr>
                </pic:pic>
              </a:graphicData>
            </a:graphic>
          </wp:inline>
        </w:drawing>
      </w:r>
    </w:p>
    <w:p w14:paraId="267104BE" w14:textId="77777777" w:rsidR="005C3741" w:rsidRDefault="005C3741" w:rsidP="0046461A">
      <w:pPr>
        <w:contextualSpacing/>
        <w:rPr>
          <w:b/>
        </w:rPr>
      </w:pPr>
    </w:p>
    <w:p w14:paraId="18194DF5" w14:textId="1DE4921E" w:rsidR="00147123" w:rsidRDefault="005C3741" w:rsidP="0046461A">
      <w:pPr>
        <w:contextualSpacing/>
      </w:pPr>
      <w:r w:rsidRPr="005C3741">
        <w:rPr>
          <w:b/>
        </w:rPr>
        <w:t>Learning objective:</w:t>
      </w:r>
      <w:r>
        <w:t xml:space="preserve"> 9.4 </w:t>
      </w:r>
      <w:proofErr w:type="gramStart"/>
      <w:r w:rsidR="00106360" w:rsidRPr="00106360">
        <w:t>Relate</w:t>
      </w:r>
      <w:proofErr w:type="gramEnd"/>
      <w:r w:rsidR="00106360" w:rsidRPr="00106360">
        <w:t xml:space="preserve"> the judicial decision-making process</w:t>
      </w:r>
      <w:r w:rsidR="00106360">
        <w:t>.</w:t>
      </w:r>
    </w:p>
    <w:p w14:paraId="64C64C7B" w14:textId="77777777" w:rsidR="005C3741" w:rsidRDefault="005C3741" w:rsidP="0046461A">
      <w:pPr>
        <w:contextualSpacing/>
      </w:pPr>
    </w:p>
    <w:p w14:paraId="682CD89A" w14:textId="0384E5B1" w:rsidR="00D94388" w:rsidRDefault="00106360" w:rsidP="0046461A">
      <w:pPr>
        <w:contextualSpacing/>
      </w:pPr>
      <w:r>
        <w:t>The number of dissenting opinions has almost always exceeded the number of concurring opinions in any given Supreme Court term.  Obviously, a majority decision can be signed on to by any other member of the court, thus making a concurring opinion unnecessary.  Dissenters from that majority, however, need to specify the reasons for their dissent.  What has been most interesting is that, since the 19</w:t>
      </w:r>
      <w:r w:rsidR="00E12B72">
        <w:t>3</w:t>
      </w:r>
      <w:r>
        <w:t xml:space="preserve">0s, the </w:t>
      </w:r>
      <w:proofErr w:type="gramStart"/>
      <w:r>
        <w:t>number of both have</w:t>
      </w:r>
      <w:proofErr w:type="gramEnd"/>
      <w:r>
        <w:t xml:space="preserve"> dramatically increased.  Part of this, as mentioned in the text, is due to the controversial nature of those decisions—civil rights, free speech, campaign finances, etc.  Part is also due to the increasingly divided nature of the court, with many recent decisions being decided by 5-4 majorities.  </w:t>
      </w:r>
      <w:r w:rsidR="00A0514D">
        <w:t xml:space="preserve">In one case, </w:t>
      </w:r>
      <w:r w:rsidR="00A0514D" w:rsidRPr="00A0514D">
        <w:rPr>
          <w:i/>
        </w:rPr>
        <w:t>McConnell v FEC</w:t>
      </w:r>
      <w:r w:rsidR="00A0514D">
        <w:t xml:space="preserve"> (2003), eight separate majority, concurring and dissenting opinions were filed.  In several cases, majority and dissenting opinions have taken up more than 200 pages each.  Often, the combination of concurring and dissenting opinions makes it difficult to determine which precedent the court has actually made. What makes this all the more interesting is that, in recent decades, the overall number of cases heard by the Supreme Court has declined fairly dramatically.  Justices seem to have more to say about less.</w:t>
      </w:r>
    </w:p>
    <w:p w14:paraId="72B57810" w14:textId="77777777" w:rsidR="00E12B72" w:rsidRDefault="00E12B72" w:rsidP="0046461A">
      <w:pPr>
        <w:contextualSpacing/>
      </w:pPr>
    </w:p>
    <w:p w14:paraId="36CBDFAB" w14:textId="69986272" w:rsidR="00E12B72" w:rsidRDefault="00E12B72" w:rsidP="0046461A">
      <w:pPr>
        <w:contextualSpacing/>
        <w:jc w:val="center"/>
      </w:pPr>
      <w:r>
        <w:rPr>
          <w:noProof/>
        </w:rPr>
        <w:lastRenderedPageBreak/>
        <w:drawing>
          <wp:inline distT="0" distB="0" distL="0" distR="0" wp14:anchorId="16059DB6" wp14:editId="708010FA">
            <wp:extent cx="5210175" cy="3343275"/>
            <wp:effectExtent l="0" t="0" r="9525" b="9525"/>
            <wp:docPr id="3"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14:paraId="23B4171E" w14:textId="77777777" w:rsidR="00A0514D" w:rsidRDefault="00A0514D" w:rsidP="0046461A">
      <w:pPr>
        <w:contextualSpacing/>
      </w:pPr>
    </w:p>
    <w:p w14:paraId="03D0C26C" w14:textId="58CFC2BD" w:rsidR="00E12B72" w:rsidRDefault="00E12B72" w:rsidP="0046461A">
      <w:pPr>
        <w:contextualSpacing/>
      </w:pPr>
      <w:r>
        <w:t xml:space="preserve">Source:  Lee Epstein et al.  </w:t>
      </w:r>
      <w:r w:rsidRPr="005C3741">
        <w:rPr>
          <w:i/>
        </w:rPr>
        <w:t>The Supreme Court Compendium: Data, Decisions and Developments</w:t>
      </w:r>
      <w:r>
        <w:t>, 6</w:t>
      </w:r>
      <w:r w:rsidRPr="00E12B72">
        <w:rPr>
          <w:vertAlign w:val="superscript"/>
        </w:rPr>
        <w:t>th</w:t>
      </w:r>
      <w:r>
        <w:t xml:space="preserve"> ed. Table 3-5 (CQ Press, 2016). </w:t>
      </w:r>
    </w:p>
    <w:p w14:paraId="356EC512" w14:textId="77777777" w:rsidR="005C3741" w:rsidRDefault="005C3741" w:rsidP="0046461A">
      <w:pPr>
        <w:contextualSpacing/>
      </w:pPr>
    </w:p>
    <w:p w14:paraId="758B1967" w14:textId="508A4EE7" w:rsidR="005C3741" w:rsidRDefault="005C3741" w:rsidP="0046461A">
      <w:pPr>
        <w:contextualSpacing/>
      </w:pPr>
      <w:r>
        <w:t>Questions to Consider:</w:t>
      </w:r>
    </w:p>
    <w:p w14:paraId="745A8AC3" w14:textId="77777777" w:rsidR="005C3741" w:rsidRDefault="005C3741" w:rsidP="0046461A">
      <w:pPr>
        <w:contextualSpacing/>
      </w:pPr>
    </w:p>
    <w:p w14:paraId="3AAE87C4" w14:textId="4C4E161A" w:rsidR="00C4125D" w:rsidRDefault="005C3741" w:rsidP="0046461A">
      <w:pPr>
        <w:contextualSpacing/>
      </w:pPr>
      <w:r>
        <w:t xml:space="preserve">1.  </w:t>
      </w:r>
      <w:r w:rsidR="00C4125D">
        <w:t>Which decade witnessed the greatest increase in dissenting opinions?</w:t>
      </w:r>
    </w:p>
    <w:p w14:paraId="01EE2789" w14:textId="694A8634" w:rsidR="00C4125D" w:rsidRDefault="005C3741" w:rsidP="0046461A">
      <w:pPr>
        <w:contextualSpacing/>
      </w:pPr>
      <w:proofErr w:type="gramStart"/>
      <w:r>
        <w:t>a</w:t>
      </w:r>
      <w:proofErr w:type="gramEnd"/>
      <w:r>
        <w:t xml:space="preserve">. </w:t>
      </w:r>
      <w:r w:rsidR="00C4125D">
        <w:t>the 1850s</w:t>
      </w:r>
    </w:p>
    <w:p w14:paraId="323123D9" w14:textId="35560163" w:rsidR="00C4125D" w:rsidRDefault="005C3741" w:rsidP="0046461A">
      <w:pPr>
        <w:contextualSpacing/>
      </w:pPr>
      <w:proofErr w:type="gramStart"/>
      <w:r>
        <w:t>b</w:t>
      </w:r>
      <w:proofErr w:type="gramEnd"/>
      <w:r>
        <w:t xml:space="preserve">. </w:t>
      </w:r>
      <w:r w:rsidR="00C4125D">
        <w:t>the 1930s</w:t>
      </w:r>
    </w:p>
    <w:p w14:paraId="32453FF2" w14:textId="4B0BD37C" w:rsidR="00C4125D" w:rsidRPr="00C4125D" w:rsidRDefault="005C3741" w:rsidP="0046461A">
      <w:pPr>
        <w:contextualSpacing/>
        <w:rPr>
          <w:b/>
        </w:rPr>
      </w:pPr>
      <w:r>
        <w:t xml:space="preserve">*c. </w:t>
      </w:r>
      <w:r w:rsidR="00C4125D" w:rsidRPr="00895FED">
        <w:t>the 1940s</w:t>
      </w:r>
    </w:p>
    <w:p w14:paraId="73A84EC5" w14:textId="0C471450" w:rsidR="00C4125D" w:rsidRDefault="005C3741" w:rsidP="0046461A">
      <w:pPr>
        <w:contextualSpacing/>
      </w:pPr>
      <w:proofErr w:type="gramStart"/>
      <w:r>
        <w:t>d</w:t>
      </w:r>
      <w:proofErr w:type="gramEnd"/>
      <w:r>
        <w:t xml:space="preserve">. </w:t>
      </w:r>
      <w:r w:rsidR="00C4125D">
        <w:t>the 1990s</w:t>
      </w:r>
    </w:p>
    <w:p w14:paraId="1366BA39" w14:textId="217A3415" w:rsidR="004741E9" w:rsidRDefault="004741E9" w:rsidP="0046461A">
      <w:pPr>
        <w:contextualSpacing/>
      </w:pPr>
    </w:p>
    <w:p w14:paraId="1460E92A" w14:textId="1DE2F391" w:rsidR="00C4125D" w:rsidRDefault="005C3741" w:rsidP="0046461A">
      <w:pPr>
        <w:contextualSpacing/>
      </w:pPr>
      <w:r>
        <w:t xml:space="preserve">@ Feedback: </w:t>
      </w:r>
      <w:r w:rsidR="00C4125D">
        <w:t>The Constitutional debates over New Deal legislation and the beginning of Civil Rights cases started to polarize the court between its old guard and the justices appointed by Franklin Roosevelt.</w:t>
      </w:r>
    </w:p>
    <w:p w14:paraId="09539F1B" w14:textId="77777777" w:rsidR="00E12B72" w:rsidRDefault="00E12B72" w:rsidP="0046461A">
      <w:pPr>
        <w:contextualSpacing/>
      </w:pPr>
    </w:p>
    <w:p w14:paraId="578958E6" w14:textId="415147B7" w:rsidR="00E12B72" w:rsidRDefault="005C3741" w:rsidP="0046461A">
      <w:pPr>
        <w:contextualSpacing/>
      </w:pPr>
      <w:r>
        <w:t xml:space="preserve">2. </w:t>
      </w:r>
      <w:r w:rsidR="00E12B72">
        <w:t>By the 21</w:t>
      </w:r>
      <w:r w:rsidR="00E12B72" w:rsidRPr="00E12B72">
        <w:rPr>
          <w:vertAlign w:val="superscript"/>
        </w:rPr>
        <w:t>st</w:t>
      </w:r>
      <w:r w:rsidR="00E12B72">
        <w:t xml:space="preserve"> century, the number of concurring opinions had risen to roughly the number of concurring opinions.</w:t>
      </w:r>
    </w:p>
    <w:p w14:paraId="66390AB9" w14:textId="77777777" w:rsidR="005C3741" w:rsidRDefault="005C3741" w:rsidP="0046461A">
      <w:pPr>
        <w:contextualSpacing/>
      </w:pPr>
      <w:r>
        <w:t>*a. True</w:t>
      </w:r>
    </w:p>
    <w:p w14:paraId="236497DC" w14:textId="672D105B" w:rsidR="00E12B72" w:rsidRDefault="005C3741" w:rsidP="005C3741">
      <w:pPr>
        <w:contextualSpacing/>
      </w:pPr>
      <w:r>
        <w:t>b. False</w:t>
      </w:r>
      <w:r w:rsidR="00E12B72">
        <w:tab/>
      </w:r>
    </w:p>
    <w:p w14:paraId="46D9682C" w14:textId="77777777" w:rsidR="005C3741" w:rsidRDefault="005C3741" w:rsidP="005C3741">
      <w:pPr>
        <w:contextualSpacing/>
      </w:pPr>
    </w:p>
    <w:p w14:paraId="2A020462" w14:textId="1D7E3628" w:rsidR="004D012C" w:rsidRDefault="005C3741" w:rsidP="0046461A">
      <w:pPr>
        <w:contextualSpacing/>
      </w:pPr>
      <w:r>
        <w:t xml:space="preserve">@ Feedback: </w:t>
      </w:r>
      <w:r w:rsidR="004D012C">
        <w:t xml:space="preserve">The number of dissenting opinions had dropped since its record high in the 1940s, while concurring opinions had risen.  </w:t>
      </w:r>
      <w:proofErr w:type="gramStart"/>
      <w:r w:rsidR="004D012C">
        <w:t>Again, all this despite the fact that the Supreme Court was hearing fewer cases.</w:t>
      </w:r>
      <w:proofErr w:type="gramEnd"/>
    </w:p>
    <w:p w14:paraId="7D5FBC58" w14:textId="77777777" w:rsidR="004D012C" w:rsidRDefault="004D012C" w:rsidP="0046461A">
      <w:pPr>
        <w:contextualSpacing/>
      </w:pPr>
      <w:r>
        <w:br w:type="page"/>
      </w:r>
    </w:p>
    <w:p w14:paraId="2AB49199" w14:textId="2682F2C9" w:rsidR="004D012C" w:rsidRDefault="004D012C" w:rsidP="0046461A">
      <w:pPr>
        <w:contextualSpacing/>
      </w:pPr>
      <w:r>
        <w:lastRenderedPageBreak/>
        <w:t xml:space="preserve">Figures 9-4 </w:t>
      </w:r>
      <w:r w:rsidR="00EB1456">
        <w:t>and 9-5</w:t>
      </w:r>
    </w:p>
    <w:p w14:paraId="4F4C0545" w14:textId="2331A79A" w:rsidR="00895FED" w:rsidRDefault="00895FED" w:rsidP="0046461A">
      <w:pPr>
        <w:contextualSpacing/>
      </w:pPr>
      <w:r>
        <w:rPr>
          <w:noProof/>
        </w:rPr>
        <w:drawing>
          <wp:inline distT="0" distB="0" distL="0" distR="0" wp14:anchorId="677BDA29" wp14:editId="21E64448">
            <wp:extent cx="5943600" cy="5588380"/>
            <wp:effectExtent l="0" t="0" r="0" b="0"/>
            <wp:docPr id="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3600" cy="5588380"/>
                    </a:xfrm>
                    <a:prstGeom prst="rect">
                      <a:avLst/>
                    </a:prstGeom>
                    <a:noFill/>
                    <a:ln>
                      <a:noFill/>
                    </a:ln>
                  </pic:spPr>
                </pic:pic>
              </a:graphicData>
            </a:graphic>
          </wp:inline>
        </w:drawing>
      </w:r>
    </w:p>
    <w:p w14:paraId="4EA46730" w14:textId="5B78013E" w:rsidR="00895FED" w:rsidRDefault="00895FED" w:rsidP="0046461A">
      <w:pPr>
        <w:contextualSpacing/>
      </w:pPr>
      <w:r>
        <w:rPr>
          <w:noProof/>
        </w:rPr>
        <w:lastRenderedPageBreak/>
        <w:drawing>
          <wp:inline distT="0" distB="0" distL="0" distR="0" wp14:anchorId="164081D0" wp14:editId="765C9897">
            <wp:extent cx="5943600" cy="7108820"/>
            <wp:effectExtent l="0" t="0" r="0" b="3810"/>
            <wp:docPr id="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600" cy="7108820"/>
                    </a:xfrm>
                    <a:prstGeom prst="rect">
                      <a:avLst/>
                    </a:prstGeom>
                    <a:noFill/>
                    <a:ln>
                      <a:noFill/>
                    </a:ln>
                  </pic:spPr>
                </pic:pic>
              </a:graphicData>
            </a:graphic>
          </wp:inline>
        </w:drawing>
      </w:r>
    </w:p>
    <w:p w14:paraId="5CC96757" w14:textId="0FA2EF7C" w:rsidR="004D012C" w:rsidRDefault="005C3741" w:rsidP="0046461A">
      <w:pPr>
        <w:contextualSpacing/>
      </w:pPr>
      <w:r w:rsidRPr="005C3741">
        <w:rPr>
          <w:b/>
        </w:rPr>
        <w:t>Learning objective:</w:t>
      </w:r>
      <w:r>
        <w:t xml:space="preserve"> 9.4 </w:t>
      </w:r>
      <w:proofErr w:type="gramStart"/>
      <w:r w:rsidR="004D012C" w:rsidRPr="004D012C">
        <w:t>Relate</w:t>
      </w:r>
      <w:proofErr w:type="gramEnd"/>
      <w:r w:rsidR="004D012C" w:rsidRPr="004D012C">
        <w:t xml:space="preserve"> the judicial decision-making process.</w:t>
      </w:r>
    </w:p>
    <w:p w14:paraId="78CA2E07" w14:textId="77777777" w:rsidR="005C3741" w:rsidRDefault="005C3741" w:rsidP="0046461A">
      <w:pPr>
        <w:contextualSpacing/>
      </w:pPr>
    </w:p>
    <w:p w14:paraId="279D4BD2" w14:textId="0F66C3C5" w:rsidR="004D012C" w:rsidRDefault="004D012C" w:rsidP="0046461A">
      <w:pPr>
        <w:contextualSpacing/>
      </w:pPr>
      <w:r>
        <w:t>Although we would care to think that president’s own ideological leanings should not influence his choice for nomination to the Supreme Court and that, in turn, the justices selected would not bring their own ideological positions to bear on their decision-making thought, the evidence suggests otherwise.  As noted in a previous chapter, exceptions</w:t>
      </w:r>
      <w:r w:rsidR="000C4C35">
        <w:t>, especially Chief Justice Earl Warren,</w:t>
      </w:r>
      <w:r>
        <w:t xml:space="preserve"> do exist.  </w:t>
      </w:r>
      <w:r w:rsidR="00855A08">
        <w:t xml:space="preserve">In recent </w:t>
      </w:r>
      <w:r w:rsidR="00855A08">
        <w:lastRenderedPageBreak/>
        <w:t xml:space="preserve">decades, Associate Justices Souter and Stevens have anchored the liberal wing of the court during their tenure.  They were both appointed by Republican Presidents (Ford and George H.W. Bush) but both were considered rather moderate by current standards.  The ideological perspectives of both presidents and justices are captured especially well in examining support for free expression.  </w:t>
      </w:r>
      <w:r w:rsidR="00EB1456">
        <w:t xml:space="preserve">The blue and orange columns are not </w:t>
      </w:r>
      <w:proofErr w:type="gramStart"/>
      <w:r w:rsidR="00EB1456">
        <w:t>additive</w:t>
      </w:r>
      <w:proofErr w:type="gramEnd"/>
      <w:r w:rsidR="00EB1456">
        <w:t xml:space="preserve">.  The data from which the bar graph is derived measures the percentage of times a justice supported a case that advanced liberal expression and, separately, the percentage of times they supported a case that advanced conservative expression.  That is not the same as a measure of the percentage of times they supported either side as a total of all of the cases in which they supported an expression claim.  </w:t>
      </w:r>
      <w:r w:rsidR="00373DF4">
        <w:t>That would be partially a function of how many cases advanced liberal or conservative expression.  That type of measure is incorporated in</w:t>
      </w:r>
      <w:r w:rsidR="00EB1456">
        <w:t xml:space="preserve"> Figure 9-5, listing the percentage of liberal decisions on all cases for all judges appointed by different presidents.</w:t>
      </w:r>
    </w:p>
    <w:p w14:paraId="7F54B568" w14:textId="77777777" w:rsidR="005C3741" w:rsidRDefault="005C3741" w:rsidP="0046461A">
      <w:pPr>
        <w:contextualSpacing/>
      </w:pPr>
    </w:p>
    <w:p w14:paraId="61C6354E" w14:textId="0072D6E1" w:rsidR="000C4C35" w:rsidRDefault="000C4C35" w:rsidP="0046461A">
      <w:pPr>
        <w:contextualSpacing/>
      </w:pPr>
      <w:r>
        <w:t>The following chart lists the 27 most recently serving justices (Justices Kagan and Sotomayor had not served long enough to have made enough decisions).  They are ranked by the difference between the percentages of cases in which they voted to support a liberal free expression claim and the percentage supporting a conservative claim.  A negative number indicates greater support for conservative expression, a positive number liberal expression.  A number close to 0% indicates ideological neutrality.</w:t>
      </w:r>
      <w:r w:rsidR="001F1DAE" w:rsidRPr="001F1DAE">
        <w:t xml:space="preserve"> </w:t>
      </w:r>
      <w:r w:rsidR="001F1DAE">
        <w:t>Overall, justices may support free expression roughly equally, but whether that expression advances liberal or conservative views does differentiate them pretty much as expected.  Of course, the implication is that a president’</w:t>
      </w:r>
      <w:r w:rsidR="005C3741">
        <w:t>s</w:t>
      </w:r>
      <w:r w:rsidR="001F1DAE">
        <w:t xml:space="preserve"> party and his ideological position are closely matched. For 19 justices, their ideological position matches their nominating president’s party; for 8 it does not.  </w:t>
      </w:r>
      <w:r w:rsidR="00CB63D7">
        <w:t xml:space="preserve">Eleven of the thirteen conservative justices were appointed by Republicans, eight of the fourteen liberal justices by Democrats.  </w:t>
      </w:r>
      <w:r w:rsidR="001F1DAE">
        <w:t xml:space="preserve">I would guess that, in time, Obama appointees Kagan and Sotomayor will follow the pattern.  It is interesting to note that 7 of the 8 justices chosen by Presidents Reagan and both Bush </w:t>
      </w:r>
      <w:r w:rsidR="005C3741">
        <w:t xml:space="preserve">presidents </w:t>
      </w:r>
      <w:r w:rsidR="001F1DAE">
        <w:t>rank as the most conservative</w:t>
      </w:r>
      <w:r w:rsidR="00CB63D7">
        <w:t>, matching what we know about recent party polarization.</w:t>
      </w:r>
    </w:p>
    <w:p w14:paraId="736555EC" w14:textId="77777777" w:rsidR="001F1DAE" w:rsidRDefault="001F1DAE" w:rsidP="0046461A">
      <w:pPr>
        <w:contextualSpacing/>
      </w:pPr>
    </w:p>
    <w:p w14:paraId="37EB2338" w14:textId="18EB5C02" w:rsidR="000C4C35" w:rsidRDefault="000C4C35" w:rsidP="0046461A">
      <w:pPr>
        <w:contextualSpacing/>
      </w:pPr>
      <w:r>
        <w:br w:type="page"/>
      </w:r>
    </w:p>
    <w:p w14:paraId="1835708D" w14:textId="77777777" w:rsidR="000C4C35" w:rsidRDefault="000C4C35" w:rsidP="0046461A">
      <w:pPr>
        <w:contextualSpacing/>
        <w:jc w:val="center"/>
      </w:pPr>
    </w:p>
    <w:tbl>
      <w:tblPr>
        <w:tblW w:w="4500" w:type="dxa"/>
        <w:jc w:val="center"/>
        <w:tblLook w:val="04A0" w:firstRow="1" w:lastRow="0" w:firstColumn="1" w:lastColumn="0" w:noHBand="0" w:noVBand="1"/>
      </w:tblPr>
      <w:tblGrid>
        <w:gridCol w:w="1500"/>
        <w:gridCol w:w="1500"/>
        <w:gridCol w:w="1500"/>
      </w:tblGrid>
      <w:tr w:rsidR="000C4C35" w:rsidRPr="000C4C35" w14:paraId="0C44E5F6" w14:textId="77777777" w:rsidTr="000C4C35">
        <w:trPr>
          <w:trHeight w:val="342"/>
          <w:jc w:val="center"/>
        </w:trPr>
        <w:tc>
          <w:tcPr>
            <w:tcW w:w="1500" w:type="dxa"/>
            <w:tcBorders>
              <w:top w:val="nil"/>
              <w:left w:val="nil"/>
              <w:bottom w:val="nil"/>
              <w:right w:val="nil"/>
            </w:tcBorders>
            <w:shd w:val="clear" w:color="000000" w:fill="FFFFFF"/>
            <w:noWrap/>
            <w:hideMark/>
          </w:tcPr>
          <w:p w14:paraId="08C1AB73" w14:textId="6995169E" w:rsidR="000C4C35" w:rsidRPr="000C4C35" w:rsidRDefault="000C4C35" w:rsidP="0046461A">
            <w:pPr>
              <w:spacing w:after="0" w:line="240" w:lineRule="auto"/>
              <w:contextualSpacing/>
              <w:rPr>
                <w:rFonts w:ascii="Times New Roman" w:eastAsia="Times New Roman" w:hAnsi="Times New Roman" w:cs="Times New Roman"/>
                <w:color w:val="000000"/>
                <w:sz w:val="20"/>
                <w:szCs w:val="20"/>
              </w:rPr>
            </w:pPr>
            <w:r w:rsidRPr="000C4C35">
              <w:rPr>
                <w:rFonts w:ascii="Times New Roman" w:eastAsia="Times New Roman" w:hAnsi="Times New Roman" w:cs="Times New Roman"/>
                <w:color w:val="000000"/>
                <w:sz w:val="20"/>
                <w:szCs w:val="20"/>
              </w:rPr>
              <w:t>Justice</w:t>
            </w:r>
            <w:r w:rsidR="006119B6">
              <w:rPr>
                <w:rFonts w:ascii="Times New Roman" w:eastAsia="Times New Roman" w:hAnsi="Times New Roman" w:cs="Times New Roman"/>
                <w:color w:val="000000"/>
                <w:sz w:val="20"/>
                <w:szCs w:val="20"/>
              </w:rPr>
              <w:t>*</w:t>
            </w:r>
          </w:p>
        </w:tc>
        <w:tc>
          <w:tcPr>
            <w:tcW w:w="1500" w:type="dxa"/>
            <w:tcBorders>
              <w:top w:val="nil"/>
              <w:left w:val="nil"/>
              <w:bottom w:val="nil"/>
              <w:right w:val="nil"/>
            </w:tcBorders>
            <w:shd w:val="clear" w:color="000000" w:fill="FFFFFF"/>
            <w:noWrap/>
            <w:hideMark/>
          </w:tcPr>
          <w:p w14:paraId="08DB1048" w14:textId="77777777" w:rsidR="000C4C35" w:rsidRPr="000C4C35" w:rsidRDefault="000C4C35" w:rsidP="0046461A">
            <w:pPr>
              <w:spacing w:after="0" w:line="240" w:lineRule="auto"/>
              <w:contextualSpacing/>
              <w:rPr>
                <w:rFonts w:ascii="Times New Roman" w:eastAsia="Times New Roman" w:hAnsi="Times New Roman" w:cs="Times New Roman"/>
                <w:color w:val="000000"/>
                <w:sz w:val="20"/>
                <w:szCs w:val="20"/>
              </w:rPr>
            </w:pPr>
            <w:r w:rsidRPr="000C4C35">
              <w:rPr>
                <w:rFonts w:ascii="Times New Roman" w:eastAsia="Times New Roman" w:hAnsi="Times New Roman" w:cs="Times New Roman"/>
                <w:color w:val="000000"/>
                <w:sz w:val="20"/>
                <w:szCs w:val="20"/>
              </w:rPr>
              <w:t>President</w:t>
            </w:r>
          </w:p>
        </w:tc>
        <w:tc>
          <w:tcPr>
            <w:tcW w:w="1500" w:type="dxa"/>
            <w:tcBorders>
              <w:top w:val="nil"/>
              <w:left w:val="nil"/>
              <w:bottom w:val="nil"/>
              <w:right w:val="nil"/>
            </w:tcBorders>
            <w:shd w:val="clear" w:color="000000" w:fill="FFFFFF"/>
            <w:noWrap/>
            <w:hideMark/>
          </w:tcPr>
          <w:p w14:paraId="570C41CB" w14:textId="77777777" w:rsidR="000C4C35" w:rsidRPr="000C4C35" w:rsidRDefault="000C4C35" w:rsidP="0046461A">
            <w:pPr>
              <w:spacing w:after="0" w:line="240" w:lineRule="auto"/>
              <w:contextualSpacing/>
              <w:rPr>
                <w:rFonts w:ascii="Times New Roman" w:eastAsia="Times New Roman" w:hAnsi="Times New Roman" w:cs="Times New Roman"/>
                <w:color w:val="000000"/>
                <w:sz w:val="20"/>
                <w:szCs w:val="20"/>
              </w:rPr>
            </w:pPr>
            <w:r w:rsidRPr="000C4C35">
              <w:rPr>
                <w:rFonts w:ascii="Times New Roman" w:eastAsia="Times New Roman" w:hAnsi="Times New Roman" w:cs="Times New Roman"/>
                <w:color w:val="000000"/>
                <w:sz w:val="20"/>
                <w:szCs w:val="20"/>
              </w:rPr>
              <w:t>Lib-Cons</w:t>
            </w:r>
          </w:p>
        </w:tc>
      </w:tr>
      <w:tr w:rsidR="000C4C35" w:rsidRPr="000C4C35" w14:paraId="33C180C4" w14:textId="77777777" w:rsidTr="000C4C35">
        <w:trPr>
          <w:trHeight w:val="342"/>
          <w:jc w:val="center"/>
        </w:trPr>
        <w:tc>
          <w:tcPr>
            <w:tcW w:w="1500" w:type="dxa"/>
            <w:tcBorders>
              <w:top w:val="single" w:sz="4" w:space="0" w:color="000000"/>
              <w:left w:val="single" w:sz="4" w:space="0" w:color="000000"/>
              <w:bottom w:val="single" w:sz="4" w:space="0" w:color="000000"/>
              <w:right w:val="single" w:sz="4" w:space="0" w:color="000000"/>
            </w:tcBorders>
            <w:shd w:val="clear" w:color="000000" w:fill="F2DCDB"/>
            <w:hideMark/>
          </w:tcPr>
          <w:p w14:paraId="4A36C058" w14:textId="77777777" w:rsidR="000C4C35" w:rsidRPr="000C4C35" w:rsidRDefault="000C4C35" w:rsidP="0046461A">
            <w:pPr>
              <w:spacing w:after="0" w:line="240" w:lineRule="auto"/>
              <w:contextualSpacing/>
              <w:rPr>
                <w:rFonts w:ascii="Calibri" w:eastAsia="Times New Roman" w:hAnsi="Calibri" w:cs="Times New Roman"/>
                <w:b/>
                <w:color w:val="000000"/>
                <w:sz w:val="20"/>
                <w:szCs w:val="20"/>
              </w:rPr>
            </w:pPr>
            <w:r w:rsidRPr="000C4C35">
              <w:rPr>
                <w:rFonts w:ascii="Calibri" w:eastAsia="Times New Roman" w:hAnsi="Calibri" w:cs="Times New Roman"/>
                <w:b/>
                <w:color w:val="000000"/>
                <w:sz w:val="20"/>
                <w:szCs w:val="20"/>
              </w:rPr>
              <w:t>Roberts</w:t>
            </w:r>
          </w:p>
        </w:tc>
        <w:tc>
          <w:tcPr>
            <w:tcW w:w="1500" w:type="dxa"/>
            <w:tcBorders>
              <w:top w:val="single" w:sz="4" w:space="0" w:color="000000"/>
              <w:left w:val="nil"/>
              <w:bottom w:val="single" w:sz="4" w:space="0" w:color="000000"/>
              <w:right w:val="single" w:sz="4" w:space="0" w:color="000000"/>
            </w:tcBorders>
            <w:shd w:val="clear" w:color="000000" w:fill="F2DCDB"/>
            <w:hideMark/>
          </w:tcPr>
          <w:p w14:paraId="317DCFBA" w14:textId="77777777" w:rsidR="000C4C35" w:rsidRPr="000C4C35" w:rsidRDefault="000C4C35" w:rsidP="0046461A">
            <w:pPr>
              <w:spacing w:after="0" w:line="240" w:lineRule="auto"/>
              <w:contextualSpacing/>
              <w:rPr>
                <w:rFonts w:ascii="Calibri" w:eastAsia="Times New Roman" w:hAnsi="Calibri" w:cs="Times New Roman"/>
                <w:b/>
                <w:color w:val="000000"/>
                <w:sz w:val="20"/>
                <w:szCs w:val="20"/>
              </w:rPr>
            </w:pPr>
            <w:r w:rsidRPr="000C4C35">
              <w:rPr>
                <w:rFonts w:ascii="Calibri" w:eastAsia="Times New Roman" w:hAnsi="Calibri" w:cs="Times New Roman"/>
                <w:b/>
                <w:color w:val="000000"/>
                <w:sz w:val="20"/>
                <w:szCs w:val="20"/>
              </w:rPr>
              <w:t>G.W. Bush</w:t>
            </w:r>
          </w:p>
        </w:tc>
        <w:tc>
          <w:tcPr>
            <w:tcW w:w="1500" w:type="dxa"/>
            <w:tcBorders>
              <w:top w:val="single" w:sz="4" w:space="0" w:color="000000"/>
              <w:left w:val="nil"/>
              <w:bottom w:val="single" w:sz="4" w:space="0" w:color="000000"/>
              <w:right w:val="single" w:sz="4" w:space="0" w:color="000000"/>
            </w:tcBorders>
            <w:shd w:val="clear" w:color="000000" w:fill="F2DCDB"/>
            <w:hideMark/>
          </w:tcPr>
          <w:p w14:paraId="4296F1A8" w14:textId="77777777" w:rsidR="000C4C35" w:rsidRPr="000C4C35" w:rsidRDefault="000C4C35" w:rsidP="0046461A">
            <w:pPr>
              <w:spacing w:after="0" w:line="240" w:lineRule="auto"/>
              <w:contextualSpacing/>
              <w:rPr>
                <w:rFonts w:ascii="Calibri" w:eastAsia="Times New Roman" w:hAnsi="Calibri" w:cs="Times New Roman"/>
                <w:b/>
                <w:color w:val="000000"/>
                <w:sz w:val="20"/>
                <w:szCs w:val="20"/>
              </w:rPr>
            </w:pPr>
            <w:r w:rsidRPr="000C4C35">
              <w:rPr>
                <w:rFonts w:ascii="Calibri" w:eastAsia="Times New Roman" w:hAnsi="Calibri" w:cs="Times New Roman"/>
                <w:b/>
                <w:color w:val="000000"/>
                <w:sz w:val="20"/>
                <w:szCs w:val="20"/>
              </w:rPr>
              <w:t>-48.9</w:t>
            </w:r>
          </w:p>
        </w:tc>
      </w:tr>
      <w:tr w:rsidR="000C4C35" w:rsidRPr="000C4C35" w14:paraId="7D0639A9" w14:textId="77777777" w:rsidTr="000C4C35">
        <w:trPr>
          <w:trHeight w:val="342"/>
          <w:jc w:val="center"/>
        </w:trPr>
        <w:tc>
          <w:tcPr>
            <w:tcW w:w="1500" w:type="dxa"/>
            <w:tcBorders>
              <w:top w:val="nil"/>
              <w:left w:val="single" w:sz="4" w:space="0" w:color="000000"/>
              <w:bottom w:val="single" w:sz="4" w:space="0" w:color="000000"/>
              <w:right w:val="single" w:sz="4" w:space="0" w:color="000000"/>
            </w:tcBorders>
            <w:shd w:val="clear" w:color="000000" w:fill="F2DCDB"/>
            <w:hideMark/>
          </w:tcPr>
          <w:p w14:paraId="2175A4AA" w14:textId="77777777" w:rsidR="000C4C35" w:rsidRPr="000C4C35" w:rsidRDefault="000C4C35" w:rsidP="0046461A">
            <w:pPr>
              <w:spacing w:after="0" w:line="240" w:lineRule="auto"/>
              <w:contextualSpacing/>
              <w:rPr>
                <w:rFonts w:ascii="Calibri" w:eastAsia="Times New Roman" w:hAnsi="Calibri" w:cs="Times New Roman"/>
                <w:b/>
                <w:color w:val="000000"/>
                <w:sz w:val="20"/>
                <w:szCs w:val="20"/>
              </w:rPr>
            </w:pPr>
            <w:r w:rsidRPr="000C4C35">
              <w:rPr>
                <w:rFonts w:ascii="Calibri" w:eastAsia="Times New Roman" w:hAnsi="Calibri" w:cs="Times New Roman"/>
                <w:b/>
                <w:color w:val="000000"/>
                <w:sz w:val="20"/>
                <w:szCs w:val="20"/>
              </w:rPr>
              <w:t>Alito</w:t>
            </w:r>
          </w:p>
        </w:tc>
        <w:tc>
          <w:tcPr>
            <w:tcW w:w="1500" w:type="dxa"/>
            <w:tcBorders>
              <w:top w:val="nil"/>
              <w:left w:val="nil"/>
              <w:bottom w:val="single" w:sz="4" w:space="0" w:color="000000"/>
              <w:right w:val="single" w:sz="4" w:space="0" w:color="000000"/>
            </w:tcBorders>
            <w:shd w:val="clear" w:color="000000" w:fill="F2DCDB"/>
            <w:hideMark/>
          </w:tcPr>
          <w:p w14:paraId="393ACFD8" w14:textId="77777777" w:rsidR="000C4C35" w:rsidRPr="000C4C35" w:rsidRDefault="000C4C35" w:rsidP="0046461A">
            <w:pPr>
              <w:spacing w:after="0" w:line="240" w:lineRule="auto"/>
              <w:contextualSpacing/>
              <w:rPr>
                <w:rFonts w:ascii="Calibri" w:eastAsia="Times New Roman" w:hAnsi="Calibri" w:cs="Times New Roman"/>
                <w:b/>
                <w:color w:val="000000"/>
                <w:sz w:val="20"/>
                <w:szCs w:val="20"/>
              </w:rPr>
            </w:pPr>
            <w:r w:rsidRPr="000C4C35">
              <w:rPr>
                <w:rFonts w:ascii="Calibri" w:eastAsia="Times New Roman" w:hAnsi="Calibri" w:cs="Times New Roman"/>
                <w:b/>
                <w:color w:val="000000"/>
                <w:sz w:val="20"/>
                <w:szCs w:val="20"/>
              </w:rPr>
              <w:t>G.W. Bush</w:t>
            </w:r>
          </w:p>
        </w:tc>
        <w:tc>
          <w:tcPr>
            <w:tcW w:w="1500" w:type="dxa"/>
            <w:tcBorders>
              <w:top w:val="nil"/>
              <w:left w:val="nil"/>
              <w:bottom w:val="single" w:sz="4" w:space="0" w:color="000000"/>
              <w:right w:val="single" w:sz="4" w:space="0" w:color="000000"/>
            </w:tcBorders>
            <w:shd w:val="clear" w:color="000000" w:fill="F2DCDB"/>
            <w:hideMark/>
          </w:tcPr>
          <w:p w14:paraId="20447341" w14:textId="77777777" w:rsidR="000C4C35" w:rsidRPr="000C4C35" w:rsidRDefault="000C4C35" w:rsidP="0046461A">
            <w:pPr>
              <w:spacing w:after="0" w:line="240" w:lineRule="auto"/>
              <w:contextualSpacing/>
              <w:rPr>
                <w:rFonts w:ascii="Calibri" w:eastAsia="Times New Roman" w:hAnsi="Calibri" w:cs="Times New Roman"/>
                <w:b/>
                <w:color w:val="000000"/>
                <w:sz w:val="20"/>
                <w:szCs w:val="20"/>
              </w:rPr>
            </w:pPr>
            <w:r w:rsidRPr="000C4C35">
              <w:rPr>
                <w:rFonts w:ascii="Calibri" w:eastAsia="Times New Roman" w:hAnsi="Calibri" w:cs="Times New Roman"/>
                <w:b/>
                <w:color w:val="000000"/>
                <w:sz w:val="20"/>
                <w:szCs w:val="20"/>
              </w:rPr>
              <w:t>-44.8</w:t>
            </w:r>
          </w:p>
        </w:tc>
      </w:tr>
      <w:tr w:rsidR="000C4C35" w:rsidRPr="000C4C35" w14:paraId="62D44F0F" w14:textId="77777777" w:rsidTr="000C4C35">
        <w:trPr>
          <w:trHeight w:val="342"/>
          <w:jc w:val="center"/>
        </w:trPr>
        <w:tc>
          <w:tcPr>
            <w:tcW w:w="1500" w:type="dxa"/>
            <w:tcBorders>
              <w:top w:val="nil"/>
              <w:left w:val="single" w:sz="4" w:space="0" w:color="000000"/>
              <w:bottom w:val="single" w:sz="4" w:space="0" w:color="000000"/>
              <w:right w:val="single" w:sz="4" w:space="0" w:color="000000"/>
            </w:tcBorders>
            <w:shd w:val="clear" w:color="000000" w:fill="F2DCDB"/>
            <w:hideMark/>
          </w:tcPr>
          <w:p w14:paraId="72DEF94F" w14:textId="77777777" w:rsidR="000C4C35" w:rsidRPr="000C4C35" w:rsidRDefault="000C4C35" w:rsidP="0046461A">
            <w:pPr>
              <w:spacing w:after="0" w:line="240" w:lineRule="auto"/>
              <w:contextualSpacing/>
              <w:rPr>
                <w:rFonts w:ascii="Calibri" w:eastAsia="Times New Roman" w:hAnsi="Calibri" w:cs="Times New Roman"/>
                <w:b/>
                <w:color w:val="000000"/>
                <w:sz w:val="20"/>
                <w:szCs w:val="20"/>
              </w:rPr>
            </w:pPr>
            <w:r w:rsidRPr="000C4C35">
              <w:rPr>
                <w:rFonts w:ascii="Calibri" w:eastAsia="Times New Roman" w:hAnsi="Calibri" w:cs="Times New Roman"/>
                <w:b/>
                <w:color w:val="000000"/>
                <w:sz w:val="20"/>
                <w:szCs w:val="20"/>
              </w:rPr>
              <w:t>Scalia</w:t>
            </w:r>
          </w:p>
        </w:tc>
        <w:tc>
          <w:tcPr>
            <w:tcW w:w="1500" w:type="dxa"/>
            <w:tcBorders>
              <w:top w:val="nil"/>
              <w:left w:val="nil"/>
              <w:bottom w:val="single" w:sz="4" w:space="0" w:color="000000"/>
              <w:right w:val="single" w:sz="4" w:space="0" w:color="000000"/>
            </w:tcBorders>
            <w:shd w:val="clear" w:color="000000" w:fill="F2DCDB"/>
            <w:hideMark/>
          </w:tcPr>
          <w:p w14:paraId="6F0F41B5" w14:textId="77777777" w:rsidR="000C4C35" w:rsidRPr="000C4C35" w:rsidRDefault="000C4C35" w:rsidP="0046461A">
            <w:pPr>
              <w:spacing w:after="0" w:line="240" w:lineRule="auto"/>
              <w:contextualSpacing/>
              <w:rPr>
                <w:rFonts w:ascii="Calibri" w:eastAsia="Times New Roman" w:hAnsi="Calibri" w:cs="Times New Roman"/>
                <w:b/>
                <w:color w:val="000000"/>
                <w:sz w:val="20"/>
                <w:szCs w:val="20"/>
              </w:rPr>
            </w:pPr>
            <w:r w:rsidRPr="000C4C35">
              <w:rPr>
                <w:rFonts w:ascii="Calibri" w:eastAsia="Times New Roman" w:hAnsi="Calibri" w:cs="Times New Roman"/>
                <w:b/>
                <w:color w:val="000000"/>
                <w:sz w:val="20"/>
                <w:szCs w:val="20"/>
              </w:rPr>
              <w:t>Reagan</w:t>
            </w:r>
          </w:p>
        </w:tc>
        <w:tc>
          <w:tcPr>
            <w:tcW w:w="1500" w:type="dxa"/>
            <w:tcBorders>
              <w:top w:val="nil"/>
              <w:left w:val="nil"/>
              <w:bottom w:val="single" w:sz="4" w:space="0" w:color="000000"/>
              <w:right w:val="single" w:sz="4" w:space="0" w:color="000000"/>
            </w:tcBorders>
            <w:shd w:val="clear" w:color="000000" w:fill="F2DCDB"/>
            <w:hideMark/>
          </w:tcPr>
          <w:p w14:paraId="3758C041" w14:textId="77777777" w:rsidR="000C4C35" w:rsidRPr="000C4C35" w:rsidRDefault="000C4C35" w:rsidP="0046461A">
            <w:pPr>
              <w:spacing w:after="0" w:line="240" w:lineRule="auto"/>
              <w:contextualSpacing/>
              <w:rPr>
                <w:rFonts w:ascii="Calibri" w:eastAsia="Times New Roman" w:hAnsi="Calibri" w:cs="Times New Roman"/>
                <w:b/>
                <w:color w:val="000000"/>
                <w:sz w:val="20"/>
                <w:szCs w:val="20"/>
              </w:rPr>
            </w:pPr>
            <w:r w:rsidRPr="000C4C35">
              <w:rPr>
                <w:rFonts w:ascii="Calibri" w:eastAsia="Times New Roman" w:hAnsi="Calibri" w:cs="Times New Roman"/>
                <w:b/>
                <w:color w:val="000000"/>
                <w:sz w:val="20"/>
                <w:szCs w:val="20"/>
              </w:rPr>
              <w:t>-44.5</w:t>
            </w:r>
          </w:p>
        </w:tc>
      </w:tr>
      <w:tr w:rsidR="000C4C35" w:rsidRPr="000C4C35" w14:paraId="61012712" w14:textId="77777777" w:rsidTr="000C4C35">
        <w:trPr>
          <w:trHeight w:val="342"/>
          <w:jc w:val="center"/>
        </w:trPr>
        <w:tc>
          <w:tcPr>
            <w:tcW w:w="1500" w:type="dxa"/>
            <w:tcBorders>
              <w:top w:val="nil"/>
              <w:left w:val="single" w:sz="4" w:space="0" w:color="000000"/>
              <w:bottom w:val="single" w:sz="4" w:space="0" w:color="000000"/>
              <w:right w:val="single" w:sz="4" w:space="0" w:color="000000"/>
            </w:tcBorders>
            <w:shd w:val="clear" w:color="000000" w:fill="F2DCDB"/>
            <w:hideMark/>
          </w:tcPr>
          <w:p w14:paraId="05E9DD4D" w14:textId="77777777" w:rsidR="000C4C35" w:rsidRPr="000C4C35" w:rsidRDefault="000C4C35" w:rsidP="0046461A">
            <w:pPr>
              <w:spacing w:after="0" w:line="240" w:lineRule="auto"/>
              <w:contextualSpacing/>
              <w:rPr>
                <w:rFonts w:ascii="Calibri" w:eastAsia="Times New Roman" w:hAnsi="Calibri" w:cs="Times New Roman"/>
                <w:b/>
                <w:color w:val="000000"/>
                <w:sz w:val="20"/>
                <w:szCs w:val="20"/>
              </w:rPr>
            </w:pPr>
            <w:r w:rsidRPr="000C4C35">
              <w:rPr>
                <w:rFonts w:ascii="Calibri" w:eastAsia="Times New Roman" w:hAnsi="Calibri" w:cs="Times New Roman"/>
                <w:b/>
                <w:color w:val="000000"/>
                <w:sz w:val="20"/>
                <w:szCs w:val="20"/>
              </w:rPr>
              <w:t>Thomas</w:t>
            </w:r>
          </w:p>
        </w:tc>
        <w:tc>
          <w:tcPr>
            <w:tcW w:w="1500" w:type="dxa"/>
            <w:tcBorders>
              <w:top w:val="nil"/>
              <w:left w:val="nil"/>
              <w:bottom w:val="single" w:sz="4" w:space="0" w:color="000000"/>
              <w:right w:val="single" w:sz="4" w:space="0" w:color="000000"/>
            </w:tcBorders>
            <w:shd w:val="clear" w:color="000000" w:fill="F2DCDB"/>
            <w:hideMark/>
          </w:tcPr>
          <w:p w14:paraId="77DB8732" w14:textId="77777777" w:rsidR="000C4C35" w:rsidRPr="000C4C35" w:rsidRDefault="000C4C35" w:rsidP="0046461A">
            <w:pPr>
              <w:spacing w:after="0" w:line="240" w:lineRule="auto"/>
              <w:contextualSpacing/>
              <w:rPr>
                <w:rFonts w:ascii="Calibri" w:eastAsia="Times New Roman" w:hAnsi="Calibri" w:cs="Times New Roman"/>
                <w:b/>
                <w:color w:val="000000"/>
                <w:sz w:val="20"/>
                <w:szCs w:val="20"/>
              </w:rPr>
            </w:pPr>
            <w:r w:rsidRPr="000C4C35">
              <w:rPr>
                <w:rFonts w:ascii="Calibri" w:eastAsia="Times New Roman" w:hAnsi="Calibri" w:cs="Times New Roman"/>
                <w:b/>
                <w:color w:val="000000"/>
                <w:sz w:val="20"/>
                <w:szCs w:val="20"/>
              </w:rPr>
              <w:t>G.H.W. Bush</w:t>
            </w:r>
          </w:p>
        </w:tc>
        <w:tc>
          <w:tcPr>
            <w:tcW w:w="1500" w:type="dxa"/>
            <w:tcBorders>
              <w:top w:val="nil"/>
              <w:left w:val="nil"/>
              <w:bottom w:val="single" w:sz="4" w:space="0" w:color="000000"/>
              <w:right w:val="single" w:sz="4" w:space="0" w:color="000000"/>
            </w:tcBorders>
            <w:shd w:val="clear" w:color="000000" w:fill="F2DCDB"/>
            <w:hideMark/>
          </w:tcPr>
          <w:p w14:paraId="3BDE7A28" w14:textId="77777777" w:rsidR="000C4C35" w:rsidRPr="000C4C35" w:rsidRDefault="000C4C35" w:rsidP="0046461A">
            <w:pPr>
              <w:spacing w:after="0" w:line="240" w:lineRule="auto"/>
              <w:contextualSpacing/>
              <w:rPr>
                <w:rFonts w:ascii="Calibri" w:eastAsia="Times New Roman" w:hAnsi="Calibri" w:cs="Times New Roman"/>
                <w:b/>
                <w:color w:val="000000"/>
                <w:sz w:val="20"/>
                <w:szCs w:val="20"/>
              </w:rPr>
            </w:pPr>
            <w:r w:rsidRPr="000C4C35">
              <w:rPr>
                <w:rFonts w:ascii="Calibri" w:eastAsia="Times New Roman" w:hAnsi="Calibri" w:cs="Times New Roman"/>
                <w:b/>
                <w:color w:val="000000"/>
                <w:sz w:val="20"/>
                <w:szCs w:val="20"/>
              </w:rPr>
              <w:t>-42.3</w:t>
            </w:r>
          </w:p>
        </w:tc>
      </w:tr>
      <w:tr w:rsidR="000C4C35" w:rsidRPr="000C4C35" w14:paraId="0A0F1B06" w14:textId="77777777" w:rsidTr="000C4C35">
        <w:trPr>
          <w:trHeight w:val="342"/>
          <w:jc w:val="center"/>
        </w:trPr>
        <w:tc>
          <w:tcPr>
            <w:tcW w:w="1500" w:type="dxa"/>
            <w:tcBorders>
              <w:top w:val="nil"/>
              <w:left w:val="single" w:sz="4" w:space="0" w:color="000000"/>
              <w:bottom w:val="single" w:sz="4" w:space="0" w:color="000000"/>
              <w:right w:val="single" w:sz="4" w:space="0" w:color="000000"/>
            </w:tcBorders>
            <w:shd w:val="clear" w:color="000000" w:fill="F2DCDB"/>
            <w:hideMark/>
          </w:tcPr>
          <w:p w14:paraId="0444D5E1" w14:textId="77777777" w:rsidR="000C4C35" w:rsidRPr="000C4C35" w:rsidRDefault="000C4C35" w:rsidP="0046461A">
            <w:pPr>
              <w:spacing w:after="0" w:line="240" w:lineRule="auto"/>
              <w:contextualSpacing/>
              <w:rPr>
                <w:rFonts w:ascii="Calibri" w:eastAsia="Times New Roman" w:hAnsi="Calibri" w:cs="Times New Roman"/>
                <w:b/>
                <w:color w:val="000000"/>
                <w:sz w:val="20"/>
                <w:szCs w:val="20"/>
              </w:rPr>
            </w:pPr>
            <w:r w:rsidRPr="000C4C35">
              <w:rPr>
                <w:rFonts w:ascii="Calibri" w:eastAsia="Times New Roman" w:hAnsi="Calibri" w:cs="Times New Roman"/>
                <w:b/>
                <w:color w:val="000000"/>
                <w:sz w:val="20"/>
                <w:szCs w:val="20"/>
              </w:rPr>
              <w:t>Kennedy</w:t>
            </w:r>
          </w:p>
        </w:tc>
        <w:tc>
          <w:tcPr>
            <w:tcW w:w="1500" w:type="dxa"/>
            <w:tcBorders>
              <w:top w:val="nil"/>
              <w:left w:val="nil"/>
              <w:bottom w:val="single" w:sz="4" w:space="0" w:color="000000"/>
              <w:right w:val="single" w:sz="4" w:space="0" w:color="000000"/>
            </w:tcBorders>
            <w:shd w:val="clear" w:color="000000" w:fill="F2DCDB"/>
            <w:hideMark/>
          </w:tcPr>
          <w:p w14:paraId="5FCDC146" w14:textId="77777777" w:rsidR="000C4C35" w:rsidRPr="000C4C35" w:rsidRDefault="000C4C35" w:rsidP="0046461A">
            <w:pPr>
              <w:spacing w:after="0" w:line="240" w:lineRule="auto"/>
              <w:contextualSpacing/>
              <w:rPr>
                <w:rFonts w:ascii="Calibri" w:eastAsia="Times New Roman" w:hAnsi="Calibri" w:cs="Times New Roman"/>
                <w:b/>
                <w:color w:val="000000"/>
                <w:sz w:val="20"/>
                <w:szCs w:val="20"/>
              </w:rPr>
            </w:pPr>
            <w:r w:rsidRPr="000C4C35">
              <w:rPr>
                <w:rFonts w:ascii="Calibri" w:eastAsia="Times New Roman" w:hAnsi="Calibri" w:cs="Times New Roman"/>
                <w:b/>
                <w:color w:val="000000"/>
                <w:sz w:val="20"/>
                <w:szCs w:val="20"/>
              </w:rPr>
              <w:t>Reagan</w:t>
            </w:r>
          </w:p>
        </w:tc>
        <w:tc>
          <w:tcPr>
            <w:tcW w:w="1500" w:type="dxa"/>
            <w:tcBorders>
              <w:top w:val="nil"/>
              <w:left w:val="nil"/>
              <w:bottom w:val="single" w:sz="4" w:space="0" w:color="000000"/>
              <w:right w:val="single" w:sz="4" w:space="0" w:color="000000"/>
            </w:tcBorders>
            <w:shd w:val="clear" w:color="000000" w:fill="F2DCDB"/>
            <w:hideMark/>
          </w:tcPr>
          <w:p w14:paraId="737C7E88" w14:textId="77777777" w:rsidR="000C4C35" w:rsidRPr="000C4C35" w:rsidRDefault="000C4C35" w:rsidP="0046461A">
            <w:pPr>
              <w:spacing w:after="0" w:line="240" w:lineRule="auto"/>
              <w:contextualSpacing/>
              <w:rPr>
                <w:rFonts w:ascii="Calibri" w:eastAsia="Times New Roman" w:hAnsi="Calibri" w:cs="Times New Roman"/>
                <w:b/>
                <w:color w:val="000000"/>
                <w:sz w:val="20"/>
                <w:szCs w:val="20"/>
              </w:rPr>
            </w:pPr>
            <w:r w:rsidRPr="000C4C35">
              <w:rPr>
                <w:rFonts w:ascii="Calibri" w:eastAsia="Times New Roman" w:hAnsi="Calibri" w:cs="Times New Roman"/>
                <w:b/>
                <w:color w:val="000000"/>
                <w:sz w:val="20"/>
                <w:szCs w:val="20"/>
              </w:rPr>
              <w:t>-24.5</w:t>
            </w:r>
          </w:p>
        </w:tc>
      </w:tr>
      <w:tr w:rsidR="000C4C35" w:rsidRPr="000C4C35" w14:paraId="7AE26EC4" w14:textId="77777777" w:rsidTr="000C4C35">
        <w:trPr>
          <w:trHeight w:val="342"/>
          <w:jc w:val="center"/>
        </w:trPr>
        <w:tc>
          <w:tcPr>
            <w:tcW w:w="1500" w:type="dxa"/>
            <w:tcBorders>
              <w:top w:val="nil"/>
              <w:left w:val="single" w:sz="4" w:space="0" w:color="000000"/>
              <w:bottom w:val="single" w:sz="4" w:space="0" w:color="000000"/>
              <w:right w:val="single" w:sz="4" w:space="0" w:color="000000"/>
            </w:tcBorders>
            <w:shd w:val="clear" w:color="000000" w:fill="F2DCDB"/>
            <w:hideMark/>
          </w:tcPr>
          <w:p w14:paraId="008C7326" w14:textId="77777777" w:rsidR="000C4C35" w:rsidRPr="000C4C35" w:rsidRDefault="000C4C35" w:rsidP="0046461A">
            <w:pPr>
              <w:spacing w:after="0" w:line="240" w:lineRule="auto"/>
              <w:contextualSpacing/>
              <w:rPr>
                <w:rFonts w:ascii="Calibri" w:eastAsia="Times New Roman" w:hAnsi="Calibri" w:cs="Times New Roman"/>
                <w:b/>
                <w:color w:val="000000"/>
                <w:sz w:val="20"/>
                <w:szCs w:val="20"/>
              </w:rPr>
            </w:pPr>
            <w:r w:rsidRPr="000C4C35">
              <w:rPr>
                <w:rFonts w:ascii="Calibri" w:eastAsia="Times New Roman" w:hAnsi="Calibri" w:cs="Times New Roman"/>
                <w:b/>
                <w:color w:val="000000"/>
                <w:sz w:val="20"/>
                <w:szCs w:val="20"/>
              </w:rPr>
              <w:t>O'Connor</w:t>
            </w:r>
          </w:p>
        </w:tc>
        <w:tc>
          <w:tcPr>
            <w:tcW w:w="1500" w:type="dxa"/>
            <w:tcBorders>
              <w:top w:val="nil"/>
              <w:left w:val="nil"/>
              <w:bottom w:val="single" w:sz="4" w:space="0" w:color="000000"/>
              <w:right w:val="single" w:sz="4" w:space="0" w:color="000000"/>
            </w:tcBorders>
            <w:shd w:val="clear" w:color="000000" w:fill="F2DCDB"/>
            <w:hideMark/>
          </w:tcPr>
          <w:p w14:paraId="272A3499" w14:textId="77777777" w:rsidR="000C4C35" w:rsidRPr="000C4C35" w:rsidRDefault="000C4C35" w:rsidP="0046461A">
            <w:pPr>
              <w:spacing w:after="0" w:line="240" w:lineRule="auto"/>
              <w:contextualSpacing/>
              <w:rPr>
                <w:rFonts w:ascii="Calibri" w:eastAsia="Times New Roman" w:hAnsi="Calibri" w:cs="Times New Roman"/>
                <w:b/>
                <w:color w:val="000000"/>
                <w:sz w:val="20"/>
                <w:szCs w:val="20"/>
              </w:rPr>
            </w:pPr>
            <w:r w:rsidRPr="000C4C35">
              <w:rPr>
                <w:rFonts w:ascii="Calibri" w:eastAsia="Times New Roman" w:hAnsi="Calibri" w:cs="Times New Roman"/>
                <w:b/>
                <w:color w:val="000000"/>
                <w:sz w:val="20"/>
                <w:szCs w:val="20"/>
              </w:rPr>
              <w:t>Reagan</w:t>
            </w:r>
          </w:p>
        </w:tc>
        <w:tc>
          <w:tcPr>
            <w:tcW w:w="1500" w:type="dxa"/>
            <w:tcBorders>
              <w:top w:val="nil"/>
              <w:left w:val="nil"/>
              <w:bottom w:val="single" w:sz="4" w:space="0" w:color="000000"/>
              <w:right w:val="single" w:sz="4" w:space="0" w:color="000000"/>
            </w:tcBorders>
            <w:shd w:val="clear" w:color="000000" w:fill="F2DCDB"/>
            <w:hideMark/>
          </w:tcPr>
          <w:p w14:paraId="1930A97A" w14:textId="77777777" w:rsidR="000C4C35" w:rsidRPr="000C4C35" w:rsidRDefault="000C4C35" w:rsidP="0046461A">
            <w:pPr>
              <w:spacing w:after="0" w:line="240" w:lineRule="auto"/>
              <w:contextualSpacing/>
              <w:rPr>
                <w:rFonts w:ascii="Calibri" w:eastAsia="Times New Roman" w:hAnsi="Calibri" w:cs="Times New Roman"/>
                <w:b/>
                <w:color w:val="000000"/>
                <w:sz w:val="20"/>
                <w:szCs w:val="20"/>
              </w:rPr>
            </w:pPr>
            <w:r w:rsidRPr="000C4C35">
              <w:rPr>
                <w:rFonts w:ascii="Calibri" w:eastAsia="Times New Roman" w:hAnsi="Calibri" w:cs="Times New Roman"/>
                <w:b/>
                <w:color w:val="000000"/>
                <w:sz w:val="20"/>
                <w:szCs w:val="20"/>
              </w:rPr>
              <w:t>-20.1</w:t>
            </w:r>
          </w:p>
        </w:tc>
      </w:tr>
      <w:tr w:rsidR="000C4C35" w:rsidRPr="000C4C35" w14:paraId="212DEE67" w14:textId="77777777" w:rsidTr="000C4C35">
        <w:trPr>
          <w:trHeight w:val="342"/>
          <w:jc w:val="center"/>
        </w:trPr>
        <w:tc>
          <w:tcPr>
            <w:tcW w:w="1500" w:type="dxa"/>
            <w:tcBorders>
              <w:top w:val="nil"/>
              <w:left w:val="single" w:sz="4" w:space="0" w:color="000000"/>
              <w:bottom w:val="single" w:sz="4" w:space="0" w:color="000000"/>
              <w:right w:val="single" w:sz="4" w:space="0" w:color="000000"/>
            </w:tcBorders>
            <w:shd w:val="clear" w:color="000000" w:fill="F2DCDB"/>
            <w:hideMark/>
          </w:tcPr>
          <w:p w14:paraId="5BC05BA9" w14:textId="77777777" w:rsidR="000C4C35" w:rsidRPr="000C4C35" w:rsidRDefault="000C4C35" w:rsidP="0046461A">
            <w:pPr>
              <w:spacing w:after="0" w:line="240" w:lineRule="auto"/>
              <w:contextualSpacing/>
              <w:rPr>
                <w:rFonts w:ascii="Calibri" w:eastAsia="Times New Roman" w:hAnsi="Calibri" w:cs="Times New Roman"/>
                <w:color w:val="000000"/>
                <w:sz w:val="20"/>
                <w:szCs w:val="20"/>
              </w:rPr>
            </w:pPr>
            <w:r w:rsidRPr="000C4C35">
              <w:rPr>
                <w:rFonts w:ascii="Calibri" w:eastAsia="Times New Roman" w:hAnsi="Calibri" w:cs="Times New Roman"/>
                <w:color w:val="000000"/>
                <w:sz w:val="20"/>
                <w:szCs w:val="20"/>
              </w:rPr>
              <w:t>Rehnquist</w:t>
            </w:r>
          </w:p>
        </w:tc>
        <w:tc>
          <w:tcPr>
            <w:tcW w:w="1500" w:type="dxa"/>
            <w:tcBorders>
              <w:top w:val="nil"/>
              <w:left w:val="nil"/>
              <w:bottom w:val="single" w:sz="4" w:space="0" w:color="000000"/>
              <w:right w:val="single" w:sz="4" w:space="0" w:color="000000"/>
            </w:tcBorders>
            <w:shd w:val="clear" w:color="000000" w:fill="F2DCDB"/>
            <w:hideMark/>
          </w:tcPr>
          <w:p w14:paraId="7D894DC3" w14:textId="77777777" w:rsidR="000C4C35" w:rsidRPr="000C4C35" w:rsidRDefault="000C4C35" w:rsidP="0046461A">
            <w:pPr>
              <w:spacing w:after="0" w:line="240" w:lineRule="auto"/>
              <w:contextualSpacing/>
              <w:rPr>
                <w:rFonts w:ascii="Calibri" w:eastAsia="Times New Roman" w:hAnsi="Calibri" w:cs="Times New Roman"/>
                <w:color w:val="000000"/>
                <w:sz w:val="20"/>
                <w:szCs w:val="20"/>
              </w:rPr>
            </w:pPr>
            <w:r w:rsidRPr="000C4C35">
              <w:rPr>
                <w:rFonts w:ascii="Calibri" w:eastAsia="Times New Roman" w:hAnsi="Calibri" w:cs="Times New Roman"/>
                <w:color w:val="000000"/>
                <w:sz w:val="20"/>
                <w:szCs w:val="20"/>
              </w:rPr>
              <w:t>Reagan</w:t>
            </w:r>
          </w:p>
        </w:tc>
        <w:tc>
          <w:tcPr>
            <w:tcW w:w="1500" w:type="dxa"/>
            <w:tcBorders>
              <w:top w:val="nil"/>
              <w:left w:val="nil"/>
              <w:bottom w:val="single" w:sz="4" w:space="0" w:color="000000"/>
              <w:right w:val="single" w:sz="4" w:space="0" w:color="000000"/>
            </w:tcBorders>
            <w:shd w:val="clear" w:color="000000" w:fill="F2DCDB"/>
            <w:hideMark/>
          </w:tcPr>
          <w:p w14:paraId="17793D36" w14:textId="77777777" w:rsidR="000C4C35" w:rsidRPr="000C4C35" w:rsidRDefault="000C4C35" w:rsidP="0046461A">
            <w:pPr>
              <w:spacing w:after="0" w:line="240" w:lineRule="auto"/>
              <w:contextualSpacing/>
              <w:rPr>
                <w:rFonts w:ascii="Calibri" w:eastAsia="Times New Roman" w:hAnsi="Calibri" w:cs="Times New Roman"/>
                <w:color w:val="000000"/>
                <w:sz w:val="20"/>
                <w:szCs w:val="20"/>
              </w:rPr>
            </w:pPr>
            <w:r w:rsidRPr="000C4C35">
              <w:rPr>
                <w:rFonts w:ascii="Calibri" w:eastAsia="Times New Roman" w:hAnsi="Calibri" w:cs="Times New Roman"/>
                <w:color w:val="000000"/>
                <w:sz w:val="20"/>
                <w:szCs w:val="20"/>
              </w:rPr>
              <w:t>-16.0</w:t>
            </w:r>
          </w:p>
        </w:tc>
      </w:tr>
      <w:tr w:rsidR="000C4C35" w:rsidRPr="000C4C35" w14:paraId="0B512E1F" w14:textId="77777777" w:rsidTr="000C4C35">
        <w:trPr>
          <w:trHeight w:val="342"/>
          <w:jc w:val="center"/>
        </w:trPr>
        <w:tc>
          <w:tcPr>
            <w:tcW w:w="1500" w:type="dxa"/>
            <w:tcBorders>
              <w:top w:val="nil"/>
              <w:left w:val="single" w:sz="4" w:space="0" w:color="000000"/>
              <w:bottom w:val="single" w:sz="4" w:space="0" w:color="000000"/>
              <w:right w:val="single" w:sz="4" w:space="0" w:color="000000"/>
            </w:tcBorders>
            <w:shd w:val="clear" w:color="000000" w:fill="B8CCE4"/>
            <w:hideMark/>
          </w:tcPr>
          <w:p w14:paraId="7A1F9837" w14:textId="77777777" w:rsidR="000C4C35" w:rsidRPr="000C4C35" w:rsidRDefault="000C4C35" w:rsidP="0046461A">
            <w:pPr>
              <w:spacing w:after="0" w:line="240" w:lineRule="auto"/>
              <w:contextualSpacing/>
              <w:rPr>
                <w:rFonts w:ascii="Calibri" w:eastAsia="Times New Roman" w:hAnsi="Calibri" w:cs="Times New Roman"/>
                <w:color w:val="000000"/>
                <w:sz w:val="20"/>
                <w:szCs w:val="20"/>
              </w:rPr>
            </w:pPr>
            <w:r w:rsidRPr="000C4C35">
              <w:rPr>
                <w:rFonts w:ascii="Calibri" w:eastAsia="Times New Roman" w:hAnsi="Calibri" w:cs="Times New Roman"/>
                <w:color w:val="000000"/>
                <w:sz w:val="20"/>
                <w:szCs w:val="20"/>
              </w:rPr>
              <w:t>Clark</w:t>
            </w:r>
          </w:p>
        </w:tc>
        <w:tc>
          <w:tcPr>
            <w:tcW w:w="1500" w:type="dxa"/>
            <w:tcBorders>
              <w:top w:val="nil"/>
              <w:left w:val="nil"/>
              <w:bottom w:val="single" w:sz="4" w:space="0" w:color="000000"/>
              <w:right w:val="single" w:sz="4" w:space="0" w:color="000000"/>
            </w:tcBorders>
            <w:shd w:val="clear" w:color="000000" w:fill="B8CCE4"/>
            <w:hideMark/>
          </w:tcPr>
          <w:p w14:paraId="291F7C07" w14:textId="77777777" w:rsidR="000C4C35" w:rsidRPr="000C4C35" w:rsidRDefault="000C4C35" w:rsidP="0046461A">
            <w:pPr>
              <w:spacing w:after="0" w:line="240" w:lineRule="auto"/>
              <w:contextualSpacing/>
              <w:rPr>
                <w:rFonts w:ascii="Calibri" w:eastAsia="Times New Roman" w:hAnsi="Calibri" w:cs="Times New Roman"/>
                <w:color w:val="000000"/>
                <w:sz w:val="20"/>
                <w:szCs w:val="20"/>
              </w:rPr>
            </w:pPr>
            <w:r w:rsidRPr="000C4C35">
              <w:rPr>
                <w:rFonts w:ascii="Calibri" w:eastAsia="Times New Roman" w:hAnsi="Calibri" w:cs="Times New Roman"/>
                <w:color w:val="000000"/>
                <w:sz w:val="20"/>
                <w:szCs w:val="20"/>
              </w:rPr>
              <w:t>Truman</w:t>
            </w:r>
          </w:p>
        </w:tc>
        <w:tc>
          <w:tcPr>
            <w:tcW w:w="1500" w:type="dxa"/>
            <w:tcBorders>
              <w:top w:val="nil"/>
              <w:left w:val="nil"/>
              <w:bottom w:val="single" w:sz="4" w:space="0" w:color="000000"/>
              <w:right w:val="single" w:sz="4" w:space="0" w:color="000000"/>
            </w:tcBorders>
            <w:shd w:val="clear" w:color="000000" w:fill="B8CCE4"/>
            <w:hideMark/>
          </w:tcPr>
          <w:p w14:paraId="37E5F0BC" w14:textId="77777777" w:rsidR="000C4C35" w:rsidRPr="000C4C35" w:rsidRDefault="000C4C35" w:rsidP="0046461A">
            <w:pPr>
              <w:spacing w:after="0" w:line="240" w:lineRule="auto"/>
              <w:contextualSpacing/>
              <w:rPr>
                <w:rFonts w:ascii="Calibri" w:eastAsia="Times New Roman" w:hAnsi="Calibri" w:cs="Times New Roman"/>
                <w:color w:val="000000"/>
                <w:sz w:val="20"/>
                <w:szCs w:val="20"/>
              </w:rPr>
            </w:pPr>
            <w:r w:rsidRPr="000C4C35">
              <w:rPr>
                <w:rFonts w:ascii="Calibri" w:eastAsia="Times New Roman" w:hAnsi="Calibri" w:cs="Times New Roman"/>
                <w:color w:val="000000"/>
                <w:sz w:val="20"/>
                <w:szCs w:val="20"/>
              </w:rPr>
              <w:t>-14.7</w:t>
            </w:r>
          </w:p>
        </w:tc>
      </w:tr>
      <w:tr w:rsidR="000C4C35" w:rsidRPr="000C4C35" w14:paraId="630F91CA" w14:textId="77777777" w:rsidTr="000C4C35">
        <w:trPr>
          <w:trHeight w:val="342"/>
          <w:jc w:val="center"/>
        </w:trPr>
        <w:tc>
          <w:tcPr>
            <w:tcW w:w="1500" w:type="dxa"/>
            <w:tcBorders>
              <w:top w:val="nil"/>
              <w:left w:val="single" w:sz="4" w:space="0" w:color="000000"/>
              <w:bottom w:val="single" w:sz="4" w:space="0" w:color="000000"/>
              <w:right w:val="single" w:sz="4" w:space="0" w:color="000000"/>
            </w:tcBorders>
            <w:shd w:val="clear" w:color="000000" w:fill="F2DCDB"/>
            <w:hideMark/>
          </w:tcPr>
          <w:p w14:paraId="44631C39" w14:textId="77777777" w:rsidR="000C4C35" w:rsidRPr="000C4C35" w:rsidRDefault="000C4C35" w:rsidP="0046461A">
            <w:pPr>
              <w:spacing w:after="0" w:line="240" w:lineRule="auto"/>
              <w:contextualSpacing/>
              <w:rPr>
                <w:rFonts w:ascii="Calibri" w:eastAsia="Times New Roman" w:hAnsi="Calibri" w:cs="Times New Roman"/>
                <w:color w:val="000000"/>
                <w:sz w:val="20"/>
                <w:szCs w:val="20"/>
              </w:rPr>
            </w:pPr>
            <w:r w:rsidRPr="000C4C35">
              <w:rPr>
                <w:rFonts w:ascii="Calibri" w:eastAsia="Times New Roman" w:hAnsi="Calibri" w:cs="Times New Roman"/>
                <w:color w:val="000000"/>
                <w:sz w:val="20"/>
                <w:szCs w:val="20"/>
              </w:rPr>
              <w:t>Blackmun</w:t>
            </w:r>
          </w:p>
        </w:tc>
        <w:tc>
          <w:tcPr>
            <w:tcW w:w="1500" w:type="dxa"/>
            <w:tcBorders>
              <w:top w:val="nil"/>
              <w:left w:val="nil"/>
              <w:bottom w:val="single" w:sz="4" w:space="0" w:color="000000"/>
              <w:right w:val="single" w:sz="4" w:space="0" w:color="000000"/>
            </w:tcBorders>
            <w:shd w:val="clear" w:color="000000" w:fill="F2DCDB"/>
            <w:hideMark/>
          </w:tcPr>
          <w:p w14:paraId="293EA30E" w14:textId="77777777" w:rsidR="000C4C35" w:rsidRPr="000C4C35" w:rsidRDefault="000C4C35" w:rsidP="0046461A">
            <w:pPr>
              <w:spacing w:after="0" w:line="240" w:lineRule="auto"/>
              <w:contextualSpacing/>
              <w:rPr>
                <w:rFonts w:ascii="Calibri" w:eastAsia="Times New Roman" w:hAnsi="Calibri" w:cs="Times New Roman"/>
                <w:color w:val="000000"/>
                <w:sz w:val="20"/>
                <w:szCs w:val="20"/>
              </w:rPr>
            </w:pPr>
            <w:r w:rsidRPr="000C4C35">
              <w:rPr>
                <w:rFonts w:ascii="Calibri" w:eastAsia="Times New Roman" w:hAnsi="Calibri" w:cs="Times New Roman"/>
                <w:color w:val="000000"/>
                <w:sz w:val="20"/>
                <w:szCs w:val="20"/>
              </w:rPr>
              <w:t>Nixon</w:t>
            </w:r>
          </w:p>
        </w:tc>
        <w:tc>
          <w:tcPr>
            <w:tcW w:w="1500" w:type="dxa"/>
            <w:tcBorders>
              <w:top w:val="nil"/>
              <w:left w:val="nil"/>
              <w:bottom w:val="single" w:sz="4" w:space="0" w:color="000000"/>
              <w:right w:val="single" w:sz="4" w:space="0" w:color="000000"/>
            </w:tcBorders>
            <w:shd w:val="clear" w:color="000000" w:fill="F2DCDB"/>
            <w:hideMark/>
          </w:tcPr>
          <w:p w14:paraId="63021C96" w14:textId="77777777" w:rsidR="000C4C35" w:rsidRPr="000C4C35" w:rsidRDefault="000C4C35" w:rsidP="0046461A">
            <w:pPr>
              <w:spacing w:after="0" w:line="240" w:lineRule="auto"/>
              <w:contextualSpacing/>
              <w:rPr>
                <w:rFonts w:ascii="Calibri" w:eastAsia="Times New Roman" w:hAnsi="Calibri" w:cs="Times New Roman"/>
                <w:color w:val="000000"/>
                <w:sz w:val="20"/>
                <w:szCs w:val="20"/>
              </w:rPr>
            </w:pPr>
            <w:r w:rsidRPr="000C4C35">
              <w:rPr>
                <w:rFonts w:ascii="Calibri" w:eastAsia="Times New Roman" w:hAnsi="Calibri" w:cs="Times New Roman"/>
                <w:color w:val="000000"/>
                <w:sz w:val="20"/>
                <w:szCs w:val="20"/>
              </w:rPr>
              <w:t>-14.7</w:t>
            </w:r>
          </w:p>
        </w:tc>
      </w:tr>
      <w:tr w:rsidR="000C4C35" w:rsidRPr="000C4C35" w14:paraId="72224C11" w14:textId="77777777" w:rsidTr="000C4C35">
        <w:trPr>
          <w:trHeight w:val="342"/>
          <w:jc w:val="center"/>
        </w:trPr>
        <w:tc>
          <w:tcPr>
            <w:tcW w:w="1500" w:type="dxa"/>
            <w:tcBorders>
              <w:top w:val="nil"/>
              <w:left w:val="single" w:sz="4" w:space="0" w:color="000000"/>
              <w:bottom w:val="single" w:sz="4" w:space="0" w:color="000000"/>
              <w:right w:val="single" w:sz="4" w:space="0" w:color="000000"/>
            </w:tcBorders>
            <w:shd w:val="clear" w:color="000000" w:fill="F2DCDB"/>
            <w:hideMark/>
          </w:tcPr>
          <w:p w14:paraId="6758D06A" w14:textId="77777777" w:rsidR="000C4C35" w:rsidRPr="000C4C35" w:rsidRDefault="000C4C35" w:rsidP="0046461A">
            <w:pPr>
              <w:spacing w:after="0" w:line="240" w:lineRule="auto"/>
              <w:contextualSpacing/>
              <w:rPr>
                <w:rFonts w:ascii="Calibri" w:eastAsia="Times New Roman" w:hAnsi="Calibri" w:cs="Times New Roman"/>
                <w:color w:val="000000"/>
                <w:sz w:val="20"/>
                <w:szCs w:val="20"/>
              </w:rPr>
            </w:pPr>
            <w:r w:rsidRPr="000C4C35">
              <w:rPr>
                <w:rFonts w:ascii="Calibri" w:eastAsia="Times New Roman" w:hAnsi="Calibri" w:cs="Times New Roman"/>
                <w:color w:val="000000"/>
                <w:sz w:val="20"/>
                <w:szCs w:val="20"/>
              </w:rPr>
              <w:t>Burger</w:t>
            </w:r>
          </w:p>
        </w:tc>
        <w:tc>
          <w:tcPr>
            <w:tcW w:w="1500" w:type="dxa"/>
            <w:tcBorders>
              <w:top w:val="nil"/>
              <w:left w:val="nil"/>
              <w:bottom w:val="single" w:sz="4" w:space="0" w:color="000000"/>
              <w:right w:val="single" w:sz="4" w:space="0" w:color="000000"/>
            </w:tcBorders>
            <w:shd w:val="clear" w:color="000000" w:fill="F2DCDB"/>
            <w:hideMark/>
          </w:tcPr>
          <w:p w14:paraId="55407123" w14:textId="77777777" w:rsidR="000C4C35" w:rsidRPr="000C4C35" w:rsidRDefault="000C4C35" w:rsidP="0046461A">
            <w:pPr>
              <w:spacing w:after="0" w:line="240" w:lineRule="auto"/>
              <w:contextualSpacing/>
              <w:rPr>
                <w:rFonts w:ascii="Calibri" w:eastAsia="Times New Roman" w:hAnsi="Calibri" w:cs="Times New Roman"/>
                <w:color w:val="000000"/>
                <w:sz w:val="20"/>
                <w:szCs w:val="20"/>
              </w:rPr>
            </w:pPr>
            <w:r w:rsidRPr="000C4C35">
              <w:rPr>
                <w:rFonts w:ascii="Calibri" w:eastAsia="Times New Roman" w:hAnsi="Calibri" w:cs="Times New Roman"/>
                <w:color w:val="000000"/>
                <w:sz w:val="20"/>
                <w:szCs w:val="20"/>
              </w:rPr>
              <w:t>Nixon</w:t>
            </w:r>
          </w:p>
        </w:tc>
        <w:tc>
          <w:tcPr>
            <w:tcW w:w="1500" w:type="dxa"/>
            <w:tcBorders>
              <w:top w:val="nil"/>
              <w:left w:val="nil"/>
              <w:bottom w:val="single" w:sz="4" w:space="0" w:color="000000"/>
              <w:right w:val="single" w:sz="4" w:space="0" w:color="000000"/>
            </w:tcBorders>
            <w:shd w:val="clear" w:color="000000" w:fill="F2DCDB"/>
            <w:hideMark/>
          </w:tcPr>
          <w:p w14:paraId="24412482" w14:textId="77777777" w:rsidR="000C4C35" w:rsidRPr="000C4C35" w:rsidRDefault="000C4C35" w:rsidP="0046461A">
            <w:pPr>
              <w:spacing w:after="0" w:line="240" w:lineRule="auto"/>
              <w:contextualSpacing/>
              <w:rPr>
                <w:rFonts w:ascii="Calibri" w:eastAsia="Times New Roman" w:hAnsi="Calibri" w:cs="Times New Roman"/>
                <w:color w:val="000000"/>
                <w:sz w:val="20"/>
                <w:szCs w:val="20"/>
              </w:rPr>
            </w:pPr>
            <w:r w:rsidRPr="000C4C35">
              <w:rPr>
                <w:rFonts w:ascii="Calibri" w:eastAsia="Times New Roman" w:hAnsi="Calibri" w:cs="Times New Roman"/>
                <w:color w:val="000000"/>
                <w:sz w:val="20"/>
                <w:szCs w:val="20"/>
              </w:rPr>
              <w:t>-13.5</w:t>
            </w:r>
          </w:p>
        </w:tc>
      </w:tr>
      <w:tr w:rsidR="000C4C35" w:rsidRPr="000C4C35" w14:paraId="5272C2AA" w14:textId="77777777" w:rsidTr="000C4C35">
        <w:trPr>
          <w:trHeight w:val="342"/>
          <w:jc w:val="center"/>
        </w:trPr>
        <w:tc>
          <w:tcPr>
            <w:tcW w:w="1500" w:type="dxa"/>
            <w:tcBorders>
              <w:top w:val="nil"/>
              <w:left w:val="single" w:sz="4" w:space="0" w:color="000000"/>
              <w:bottom w:val="single" w:sz="4" w:space="0" w:color="000000"/>
              <w:right w:val="single" w:sz="4" w:space="0" w:color="000000"/>
            </w:tcBorders>
            <w:shd w:val="clear" w:color="000000" w:fill="B8CCE4"/>
            <w:hideMark/>
          </w:tcPr>
          <w:p w14:paraId="28CD14E6" w14:textId="77777777" w:rsidR="000C4C35" w:rsidRPr="000C4C35" w:rsidRDefault="000C4C35" w:rsidP="0046461A">
            <w:pPr>
              <w:spacing w:after="0" w:line="240" w:lineRule="auto"/>
              <w:contextualSpacing/>
              <w:rPr>
                <w:rFonts w:ascii="Calibri" w:eastAsia="Times New Roman" w:hAnsi="Calibri" w:cs="Times New Roman"/>
                <w:color w:val="000000"/>
                <w:sz w:val="20"/>
                <w:szCs w:val="20"/>
              </w:rPr>
            </w:pPr>
            <w:r w:rsidRPr="000C4C35">
              <w:rPr>
                <w:rFonts w:ascii="Calibri" w:eastAsia="Times New Roman" w:hAnsi="Calibri" w:cs="Times New Roman"/>
                <w:color w:val="000000"/>
                <w:sz w:val="20"/>
                <w:szCs w:val="20"/>
              </w:rPr>
              <w:t>White</w:t>
            </w:r>
          </w:p>
        </w:tc>
        <w:tc>
          <w:tcPr>
            <w:tcW w:w="1500" w:type="dxa"/>
            <w:tcBorders>
              <w:top w:val="nil"/>
              <w:left w:val="nil"/>
              <w:bottom w:val="single" w:sz="4" w:space="0" w:color="000000"/>
              <w:right w:val="single" w:sz="4" w:space="0" w:color="000000"/>
            </w:tcBorders>
            <w:shd w:val="clear" w:color="000000" w:fill="B8CCE4"/>
            <w:hideMark/>
          </w:tcPr>
          <w:p w14:paraId="5EA7849C" w14:textId="77777777" w:rsidR="000C4C35" w:rsidRPr="000C4C35" w:rsidRDefault="000C4C35" w:rsidP="0046461A">
            <w:pPr>
              <w:spacing w:after="0" w:line="240" w:lineRule="auto"/>
              <w:contextualSpacing/>
              <w:rPr>
                <w:rFonts w:ascii="Calibri" w:eastAsia="Times New Roman" w:hAnsi="Calibri" w:cs="Times New Roman"/>
                <w:color w:val="000000"/>
                <w:sz w:val="20"/>
                <w:szCs w:val="20"/>
              </w:rPr>
            </w:pPr>
            <w:r w:rsidRPr="000C4C35">
              <w:rPr>
                <w:rFonts w:ascii="Calibri" w:eastAsia="Times New Roman" w:hAnsi="Calibri" w:cs="Times New Roman"/>
                <w:color w:val="000000"/>
                <w:sz w:val="20"/>
                <w:szCs w:val="20"/>
              </w:rPr>
              <w:t>Kennedy</w:t>
            </w:r>
          </w:p>
        </w:tc>
        <w:tc>
          <w:tcPr>
            <w:tcW w:w="1500" w:type="dxa"/>
            <w:tcBorders>
              <w:top w:val="nil"/>
              <w:left w:val="nil"/>
              <w:bottom w:val="single" w:sz="4" w:space="0" w:color="000000"/>
              <w:right w:val="single" w:sz="4" w:space="0" w:color="000000"/>
            </w:tcBorders>
            <w:shd w:val="clear" w:color="000000" w:fill="B8CCE4"/>
            <w:hideMark/>
          </w:tcPr>
          <w:p w14:paraId="5B973255" w14:textId="77777777" w:rsidR="000C4C35" w:rsidRPr="000C4C35" w:rsidRDefault="000C4C35" w:rsidP="0046461A">
            <w:pPr>
              <w:spacing w:after="0" w:line="240" w:lineRule="auto"/>
              <w:contextualSpacing/>
              <w:rPr>
                <w:rFonts w:ascii="Calibri" w:eastAsia="Times New Roman" w:hAnsi="Calibri" w:cs="Times New Roman"/>
                <w:color w:val="000000"/>
                <w:sz w:val="20"/>
                <w:szCs w:val="20"/>
              </w:rPr>
            </w:pPr>
            <w:r w:rsidRPr="000C4C35">
              <w:rPr>
                <w:rFonts w:ascii="Calibri" w:eastAsia="Times New Roman" w:hAnsi="Calibri" w:cs="Times New Roman"/>
                <w:color w:val="000000"/>
                <w:sz w:val="20"/>
                <w:szCs w:val="20"/>
              </w:rPr>
              <w:t>-11.6</w:t>
            </w:r>
          </w:p>
        </w:tc>
      </w:tr>
      <w:tr w:rsidR="000C4C35" w:rsidRPr="000C4C35" w14:paraId="7AE38C82" w14:textId="77777777" w:rsidTr="000C4C35">
        <w:trPr>
          <w:trHeight w:val="342"/>
          <w:jc w:val="center"/>
        </w:trPr>
        <w:tc>
          <w:tcPr>
            <w:tcW w:w="1500" w:type="dxa"/>
            <w:tcBorders>
              <w:top w:val="nil"/>
              <w:left w:val="single" w:sz="4" w:space="0" w:color="000000"/>
              <w:bottom w:val="single" w:sz="4" w:space="0" w:color="000000"/>
              <w:right w:val="single" w:sz="4" w:space="0" w:color="000000"/>
            </w:tcBorders>
            <w:shd w:val="clear" w:color="000000" w:fill="F2DCDB"/>
            <w:hideMark/>
          </w:tcPr>
          <w:p w14:paraId="17A2E128" w14:textId="77777777" w:rsidR="000C4C35" w:rsidRPr="000C4C35" w:rsidRDefault="000C4C35" w:rsidP="0046461A">
            <w:pPr>
              <w:spacing w:after="0" w:line="240" w:lineRule="auto"/>
              <w:contextualSpacing/>
              <w:rPr>
                <w:rFonts w:ascii="Calibri" w:eastAsia="Times New Roman" w:hAnsi="Calibri" w:cs="Times New Roman"/>
                <w:color w:val="000000"/>
                <w:sz w:val="20"/>
                <w:szCs w:val="20"/>
              </w:rPr>
            </w:pPr>
            <w:r w:rsidRPr="000C4C35">
              <w:rPr>
                <w:rFonts w:ascii="Calibri" w:eastAsia="Times New Roman" w:hAnsi="Calibri" w:cs="Times New Roman"/>
                <w:color w:val="000000"/>
                <w:sz w:val="20"/>
                <w:szCs w:val="20"/>
              </w:rPr>
              <w:t>Harlan</w:t>
            </w:r>
          </w:p>
        </w:tc>
        <w:tc>
          <w:tcPr>
            <w:tcW w:w="1500" w:type="dxa"/>
            <w:tcBorders>
              <w:top w:val="nil"/>
              <w:left w:val="nil"/>
              <w:bottom w:val="single" w:sz="4" w:space="0" w:color="000000"/>
              <w:right w:val="single" w:sz="4" w:space="0" w:color="000000"/>
            </w:tcBorders>
            <w:shd w:val="clear" w:color="000000" w:fill="F2DCDB"/>
            <w:hideMark/>
          </w:tcPr>
          <w:p w14:paraId="5EA47680" w14:textId="77777777" w:rsidR="000C4C35" w:rsidRPr="000C4C35" w:rsidRDefault="000C4C35" w:rsidP="0046461A">
            <w:pPr>
              <w:spacing w:after="0" w:line="240" w:lineRule="auto"/>
              <w:contextualSpacing/>
              <w:rPr>
                <w:rFonts w:ascii="Calibri" w:eastAsia="Times New Roman" w:hAnsi="Calibri" w:cs="Times New Roman"/>
                <w:color w:val="000000"/>
                <w:sz w:val="20"/>
                <w:szCs w:val="20"/>
              </w:rPr>
            </w:pPr>
            <w:r w:rsidRPr="000C4C35">
              <w:rPr>
                <w:rFonts w:ascii="Calibri" w:eastAsia="Times New Roman" w:hAnsi="Calibri" w:cs="Times New Roman"/>
                <w:color w:val="000000"/>
                <w:sz w:val="20"/>
                <w:szCs w:val="20"/>
              </w:rPr>
              <w:t>Eisenhower</w:t>
            </w:r>
          </w:p>
        </w:tc>
        <w:tc>
          <w:tcPr>
            <w:tcW w:w="1500" w:type="dxa"/>
            <w:tcBorders>
              <w:top w:val="nil"/>
              <w:left w:val="nil"/>
              <w:bottom w:val="single" w:sz="4" w:space="0" w:color="000000"/>
              <w:right w:val="single" w:sz="4" w:space="0" w:color="000000"/>
            </w:tcBorders>
            <w:shd w:val="clear" w:color="000000" w:fill="F2DCDB"/>
            <w:hideMark/>
          </w:tcPr>
          <w:p w14:paraId="6662E477" w14:textId="77777777" w:rsidR="000C4C35" w:rsidRPr="000C4C35" w:rsidRDefault="000C4C35" w:rsidP="0046461A">
            <w:pPr>
              <w:spacing w:after="0" w:line="240" w:lineRule="auto"/>
              <w:contextualSpacing/>
              <w:rPr>
                <w:rFonts w:ascii="Calibri" w:eastAsia="Times New Roman" w:hAnsi="Calibri" w:cs="Times New Roman"/>
                <w:color w:val="000000"/>
                <w:sz w:val="20"/>
                <w:szCs w:val="20"/>
              </w:rPr>
            </w:pPr>
            <w:r w:rsidRPr="000C4C35">
              <w:rPr>
                <w:rFonts w:ascii="Calibri" w:eastAsia="Times New Roman" w:hAnsi="Calibri" w:cs="Times New Roman"/>
                <w:color w:val="000000"/>
                <w:sz w:val="20"/>
                <w:szCs w:val="20"/>
              </w:rPr>
              <w:t>-8.0</w:t>
            </w:r>
          </w:p>
        </w:tc>
      </w:tr>
      <w:tr w:rsidR="000C4C35" w:rsidRPr="000C4C35" w14:paraId="5C388EE3" w14:textId="77777777" w:rsidTr="000C4C35">
        <w:trPr>
          <w:trHeight w:val="342"/>
          <w:jc w:val="center"/>
        </w:trPr>
        <w:tc>
          <w:tcPr>
            <w:tcW w:w="1500" w:type="dxa"/>
            <w:tcBorders>
              <w:top w:val="nil"/>
              <w:left w:val="single" w:sz="4" w:space="0" w:color="000000"/>
              <w:bottom w:val="single" w:sz="4" w:space="0" w:color="000000"/>
              <w:right w:val="single" w:sz="4" w:space="0" w:color="000000"/>
            </w:tcBorders>
            <w:shd w:val="clear" w:color="000000" w:fill="F2DCDB"/>
            <w:hideMark/>
          </w:tcPr>
          <w:p w14:paraId="06924AEB" w14:textId="77777777" w:rsidR="000C4C35" w:rsidRPr="000C4C35" w:rsidRDefault="000C4C35" w:rsidP="0046461A">
            <w:pPr>
              <w:spacing w:after="0" w:line="240" w:lineRule="auto"/>
              <w:contextualSpacing/>
              <w:rPr>
                <w:rFonts w:ascii="Calibri" w:eastAsia="Times New Roman" w:hAnsi="Calibri" w:cs="Times New Roman"/>
                <w:color w:val="000000"/>
                <w:sz w:val="20"/>
                <w:szCs w:val="20"/>
              </w:rPr>
            </w:pPr>
            <w:r w:rsidRPr="000C4C35">
              <w:rPr>
                <w:rFonts w:ascii="Calibri" w:eastAsia="Times New Roman" w:hAnsi="Calibri" w:cs="Times New Roman"/>
                <w:color w:val="000000"/>
                <w:sz w:val="20"/>
                <w:szCs w:val="20"/>
              </w:rPr>
              <w:t>Powell</w:t>
            </w:r>
          </w:p>
        </w:tc>
        <w:tc>
          <w:tcPr>
            <w:tcW w:w="1500" w:type="dxa"/>
            <w:tcBorders>
              <w:top w:val="nil"/>
              <w:left w:val="nil"/>
              <w:bottom w:val="single" w:sz="4" w:space="0" w:color="000000"/>
              <w:right w:val="single" w:sz="4" w:space="0" w:color="000000"/>
            </w:tcBorders>
            <w:shd w:val="clear" w:color="000000" w:fill="F2DCDB"/>
            <w:hideMark/>
          </w:tcPr>
          <w:p w14:paraId="3550DE3B" w14:textId="77777777" w:rsidR="000C4C35" w:rsidRPr="000C4C35" w:rsidRDefault="000C4C35" w:rsidP="0046461A">
            <w:pPr>
              <w:spacing w:after="0" w:line="240" w:lineRule="auto"/>
              <w:contextualSpacing/>
              <w:rPr>
                <w:rFonts w:ascii="Calibri" w:eastAsia="Times New Roman" w:hAnsi="Calibri" w:cs="Times New Roman"/>
                <w:color w:val="000000"/>
                <w:sz w:val="20"/>
                <w:szCs w:val="20"/>
              </w:rPr>
            </w:pPr>
            <w:r w:rsidRPr="000C4C35">
              <w:rPr>
                <w:rFonts w:ascii="Calibri" w:eastAsia="Times New Roman" w:hAnsi="Calibri" w:cs="Times New Roman"/>
                <w:color w:val="000000"/>
                <w:sz w:val="20"/>
                <w:szCs w:val="20"/>
              </w:rPr>
              <w:t>Nixon</w:t>
            </w:r>
          </w:p>
        </w:tc>
        <w:tc>
          <w:tcPr>
            <w:tcW w:w="1500" w:type="dxa"/>
            <w:tcBorders>
              <w:top w:val="nil"/>
              <w:left w:val="nil"/>
              <w:bottom w:val="single" w:sz="4" w:space="0" w:color="000000"/>
              <w:right w:val="single" w:sz="4" w:space="0" w:color="000000"/>
            </w:tcBorders>
            <w:shd w:val="clear" w:color="000000" w:fill="F2DCDB"/>
            <w:hideMark/>
          </w:tcPr>
          <w:p w14:paraId="7A6A547F" w14:textId="77777777" w:rsidR="000C4C35" w:rsidRPr="000C4C35" w:rsidRDefault="000C4C35" w:rsidP="0046461A">
            <w:pPr>
              <w:spacing w:after="0" w:line="240" w:lineRule="auto"/>
              <w:contextualSpacing/>
              <w:rPr>
                <w:rFonts w:ascii="Calibri" w:eastAsia="Times New Roman" w:hAnsi="Calibri" w:cs="Times New Roman"/>
                <w:color w:val="000000"/>
                <w:sz w:val="20"/>
                <w:szCs w:val="20"/>
              </w:rPr>
            </w:pPr>
            <w:r w:rsidRPr="000C4C35">
              <w:rPr>
                <w:rFonts w:ascii="Calibri" w:eastAsia="Times New Roman" w:hAnsi="Calibri" w:cs="Times New Roman"/>
                <w:color w:val="000000"/>
                <w:sz w:val="20"/>
                <w:szCs w:val="20"/>
              </w:rPr>
              <w:t>-0.6</w:t>
            </w:r>
          </w:p>
        </w:tc>
      </w:tr>
      <w:tr w:rsidR="000C4C35" w:rsidRPr="000C4C35" w14:paraId="6DFED8F9" w14:textId="77777777" w:rsidTr="000C4C35">
        <w:trPr>
          <w:trHeight w:val="342"/>
          <w:jc w:val="center"/>
        </w:trPr>
        <w:tc>
          <w:tcPr>
            <w:tcW w:w="1500" w:type="dxa"/>
            <w:tcBorders>
              <w:top w:val="nil"/>
              <w:left w:val="single" w:sz="4" w:space="0" w:color="000000"/>
              <w:bottom w:val="single" w:sz="4" w:space="0" w:color="000000"/>
              <w:right w:val="single" w:sz="4" w:space="0" w:color="000000"/>
            </w:tcBorders>
            <w:shd w:val="clear" w:color="000000" w:fill="C5D9F1"/>
            <w:hideMark/>
          </w:tcPr>
          <w:p w14:paraId="00CE72F6" w14:textId="77777777" w:rsidR="000C4C35" w:rsidRPr="000C4C35" w:rsidRDefault="000C4C35" w:rsidP="0046461A">
            <w:pPr>
              <w:spacing w:after="0" w:line="240" w:lineRule="auto"/>
              <w:contextualSpacing/>
              <w:rPr>
                <w:rFonts w:ascii="Calibri" w:eastAsia="Times New Roman" w:hAnsi="Calibri" w:cs="Times New Roman"/>
                <w:b/>
                <w:color w:val="000000"/>
                <w:sz w:val="20"/>
                <w:szCs w:val="20"/>
              </w:rPr>
            </w:pPr>
            <w:r w:rsidRPr="000C4C35">
              <w:rPr>
                <w:rFonts w:ascii="Calibri" w:eastAsia="Times New Roman" w:hAnsi="Calibri" w:cs="Times New Roman"/>
                <w:b/>
                <w:color w:val="000000"/>
                <w:sz w:val="20"/>
                <w:szCs w:val="20"/>
              </w:rPr>
              <w:t>Breyer</w:t>
            </w:r>
          </w:p>
        </w:tc>
        <w:tc>
          <w:tcPr>
            <w:tcW w:w="1500" w:type="dxa"/>
            <w:tcBorders>
              <w:top w:val="nil"/>
              <w:left w:val="nil"/>
              <w:bottom w:val="single" w:sz="4" w:space="0" w:color="000000"/>
              <w:right w:val="single" w:sz="4" w:space="0" w:color="000000"/>
            </w:tcBorders>
            <w:shd w:val="clear" w:color="000000" w:fill="C5D9F1"/>
            <w:hideMark/>
          </w:tcPr>
          <w:p w14:paraId="0B1CE857" w14:textId="77777777" w:rsidR="000C4C35" w:rsidRPr="000C4C35" w:rsidRDefault="000C4C35" w:rsidP="0046461A">
            <w:pPr>
              <w:spacing w:after="0" w:line="240" w:lineRule="auto"/>
              <w:contextualSpacing/>
              <w:rPr>
                <w:rFonts w:ascii="Calibri" w:eastAsia="Times New Roman" w:hAnsi="Calibri" w:cs="Times New Roman"/>
                <w:b/>
                <w:color w:val="000000"/>
                <w:sz w:val="20"/>
                <w:szCs w:val="20"/>
              </w:rPr>
            </w:pPr>
            <w:r w:rsidRPr="000C4C35">
              <w:rPr>
                <w:rFonts w:ascii="Calibri" w:eastAsia="Times New Roman" w:hAnsi="Calibri" w:cs="Times New Roman"/>
                <w:b/>
                <w:color w:val="000000"/>
                <w:sz w:val="20"/>
                <w:szCs w:val="20"/>
              </w:rPr>
              <w:t>Clinton</w:t>
            </w:r>
          </w:p>
        </w:tc>
        <w:tc>
          <w:tcPr>
            <w:tcW w:w="1500" w:type="dxa"/>
            <w:tcBorders>
              <w:top w:val="nil"/>
              <w:left w:val="nil"/>
              <w:bottom w:val="single" w:sz="4" w:space="0" w:color="000000"/>
              <w:right w:val="single" w:sz="4" w:space="0" w:color="000000"/>
            </w:tcBorders>
            <w:shd w:val="clear" w:color="000000" w:fill="C5D9F1"/>
            <w:hideMark/>
          </w:tcPr>
          <w:p w14:paraId="6F0A0215" w14:textId="77777777" w:rsidR="000C4C35" w:rsidRPr="000C4C35" w:rsidRDefault="000C4C35" w:rsidP="0046461A">
            <w:pPr>
              <w:spacing w:after="0" w:line="240" w:lineRule="auto"/>
              <w:contextualSpacing/>
              <w:rPr>
                <w:rFonts w:ascii="Calibri" w:eastAsia="Times New Roman" w:hAnsi="Calibri" w:cs="Times New Roman"/>
                <w:b/>
                <w:color w:val="000000"/>
                <w:sz w:val="20"/>
                <w:szCs w:val="20"/>
              </w:rPr>
            </w:pPr>
            <w:r w:rsidRPr="000C4C35">
              <w:rPr>
                <w:rFonts w:ascii="Calibri" w:eastAsia="Times New Roman" w:hAnsi="Calibri" w:cs="Times New Roman"/>
                <w:b/>
                <w:color w:val="000000"/>
                <w:sz w:val="20"/>
                <w:szCs w:val="20"/>
              </w:rPr>
              <w:t>1.9</w:t>
            </w:r>
          </w:p>
        </w:tc>
      </w:tr>
      <w:tr w:rsidR="000C4C35" w:rsidRPr="000C4C35" w14:paraId="28075653" w14:textId="77777777" w:rsidTr="000C4C35">
        <w:trPr>
          <w:trHeight w:val="342"/>
          <w:jc w:val="center"/>
        </w:trPr>
        <w:tc>
          <w:tcPr>
            <w:tcW w:w="1500" w:type="dxa"/>
            <w:tcBorders>
              <w:top w:val="nil"/>
              <w:left w:val="single" w:sz="4" w:space="0" w:color="000000"/>
              <w:bottom w:val="single" w:sz="4" w:space="0" w:color="000000"/>
              <w:right w:val="single" w:sz="4" w:space="0" w:color="000000"/>
            </w:tcBorders>
            <w:shd w:val="clear" w:color="000000" w:fill="F2DCDB"/>
            <w:hideMark/>
          </w:tcPr>
          <w:p w14:paraId="64D6BBEB" w14:textId="77777777" w:rsidR="000C4C35" w:rsidRPr="000C4C35" w:rsidRDefault="000C4C35" w:rsidP="0046461A">
            <w:pPr>
              <w:spacing w:after="0" w:line="240" w:lineRule="auto"/>
              <w:contextualSpacing/>
              <w:rPr>
                <w:rFonts w:ascii="Calibri" w:eastAsia="Times New Roman" w:hAnsi="Calibri" w:cs="Times New Roman"/>
                <w:color w:val="000000"/>
                <w:sz w:val="20"/>
                <w:szCs w:val="20"/>
              </w:rPr>
            </w:pPr>
            <w:r w:rsidRPr="000C4C35">
              <w:rPr>
                <w:rFonts w:ascii="Calibri" w:eastAsia="Times New Roman" w:hAnsi="Calibri" w:cs="Times New Roman"/>
                <w:color w:val="000000"/>
                <w:sz w:val="20"/>
                <w:szCs w:val="20"/>
              </w:rPr>
              <w:t>Whittaker</w:t>
            </w:r>
          </w:p>
        </w:tc>
        <w:tc>
          <w:tcPr>
            <w:tcW w:w="1500" w:type="dxa"/>
            <w:tcBorders>
              <w:top w:val="nil"/>
              <w:left w:val="nil"/>
              <w:bottom w:val="single" w:sz="4" w:space="0" w:color="000000"/>
              <w:right w:val="single" w:sz="4" w:space="0" w:color="000000"/>
            </w:tcBorders>
            <w:shd w:val="clear" w:color="000000" w:fill="F2DCDB"/>
            <w:hideMark/>
          </w:tcPr>
          <w:p w14:paraId="1CF42321" w14:textId="77777777" w:rsidR="000C4C35" w:rsidRPr="000C4C35" w:rsidRDefault="000C4C35" w:rsidP="0046461A">
            <w:pPr>
              <w:spacing w:after="0" w:line="240" w:lineRule="auto"/>
              <w:contextualSpacing/>
              <w:rPr>
                <w:rFonts w:ascii="Calibri" w:eastAsia="Times New Roman" w:hAnsi="Calibri" w:cs="Times New Roman"/>
                <w:color w:val="000000"/>
                <w:sz w:val="20"/>
                <w:szCs w:val="20"/>
              </w:rPr>
            </w:pPr>
            <w:r w:rsidRPr="000C4C35">
              <w:rPr>
                <w:rFonts w:ascii="Calibri" w:eastAsia="Times New Roman" w:hAnsi="Calibri" w:cs="Times New Roman"/>
                <w:color w:val="000000"/>
                <w:sz w:val="20"/>
                <w:szCs w:val="20"/>
              </w:rPr>
              <w:t>Eisenhower</w:t>
            </w:r>
          </w:p>
        </w:tc>
        <w:tc>
          <w:tcPr>
            <w:tcW w:w="1500" w:type="dxa"/>
            <w:tcBorders>
              <w:top w:val="nil"/>
              <w:left w:val="nil"/>
              <w:bottom w:val="single" w:sz="4" w:space="0" w:color="000000"/>
              <w:right w:val="single" w:sz="4" w:space="0" w:color="000000"/>
            </w:tcBorders>
            <w:shd w:val="clear" w:color="000000" w:fill="F2DCDB"/>
            <w:hideMark/>
          </w:tcPr>
          <w:p w14:paraId="5CF46D06" w14:textId="77777777" w:rsidR="000C4C35" w:rsidRPr="000C4C35" w:rsidRDefault="000C4C35" w:rsidP="0046461A">
            <w:pPr>
              <w:spacing w:after="0" w:line="240" w:lineRule="auto"/>
              <w:contextualSpacing/>
              <w:rPr>
                <w:rFonts w:ascii="Calibri" w:eastAsia="Times New Roman" w:hAnsi="Calibri" w:cs="Times New Roman"/>
                <w:color w:val="000000"/>
                <w:sz w:val="20"/>
                <w:szCs w:val="20"/>
              </w:rPr>
            </w:pPr>
            <w:r w:rsidRPr="000C4C35">
              <w:rPr>
                <w:rFonts w:ascii="Calibri" w:eastAsia="Times New Roman" w:hAnsi="Calibri" w:cs="Times New Roman"/>
                <w:color w:val="000000"/>
                <w:sz w:val="20"/>
                <w:szCs w:val="20"/>
              </w:rPr>
              <w:t>2.9</w:t>
            </w:r>
          </w:p>
        </w:tc>
      </w:tr>
      <w:tr w:rsidR="000C4C35" w:rsidRPr="000C4C35" w14:paraId="6FA6B57E" w14:textId="77777777" w:rsidTr="000C4C35">
        <w:trPr>
          <w:trHeight w:val="342"/>
          <w:jc w:val="center"/>
        </w:trPr>
        <w:tc>
          <w:tcPr>
            <w:tcW w:w="1500" w:type="dxa"/>
            <w:tcBorders>
              <w:top w:val="nil"/>
              <w:left w:val="single" w:sz="4" w:space="0" w:color="000000"/>
              <w:bottom w:val="single" w:sz="4" w:space="0" w:color="000000"/>
              <w:right w:val="single" w:sz="4" w:space="0" w:color="000000"/>
            </w:tcBorders>
            <w:shd w:val="clear" w:color="000000" w:fill="F2DCDB"/>
            <w:hideMark/>
          </w:tcPr>
          <w:p w14:paraId="3C876B25" w14:textId="77777777" w:rsidR="000C4C35" w:rsidRPr="000C4C35" w:rsidRDefault="000C4C35" w:rsidP="0046461A">
            <w:pPr>
              <w:spacing w:after="0" w:line="240" w:lineRule="auto"/>
              <w:contextualSpacing/>
              <w:rPr>
                <w:rFonts w:ascii="Calibri" w:eastAsia="Times New Roman" w:hAnsi="Calibri" w:cs="Times New Roman"/>
                <w:color w:val="000000"/>
                <w:sz w:val="20"/>
                <w:szCs w:val="20"/>
              </w:rPr>
            </w:pPr>
            <w:r w:rsidRPr="000C4C35">
              <w:rPr>
                <w:rFonts w:ascii="Calibri" w:eastAsia="Times New Roman" w:hAnsi="Calibri" w:cs="Times New Roman"/>
                <w:color w:val="000000"/>
                <w:sz w:val="20"/>
                <w:szCs w:val="20"/>
              </w:rPr>
              <w:t>Stewart</w:t>
            </w:r>
          </w:p>
        </w:tc>
        <w:tc>
          <w:tcPr>
            <w:tcW w:w="1500" w:type="dxa"/>
            <w:tcBorders>
              <w:top w:val="nil"/>
              <w:left w:val="nil"/>
              <w:bottom w:val="single" w:sz="4" w:space="0" w:color="000000"/>
              <w:right w:val="single" w:sz="4" w:space="0" w:color="000000"/>
            </w:tcBorders>
            <w:shd w:val="clear" w:color="000000" w:fill="F2DCDB"/>
            <w:hideMark/>
          </w:tcPr>
          <w:p w14:paraId="32263EBD" w14:textId="77777777" w:rsidR="000C4C35" w:rsidRPr="000C4C35" w:rsidRDefault="000C4C35" w:rsidP="0046461A">
            <w:pPr>
              <w:spacing w:after="0" w:line="240" w:lineRule="auto"/>
              <w:contextualSpacing/>
              <w:rPr>
                <w:rFonts w:ascii="Calibri" w:eastAsia="Times New Roman" w:hAnsi="Calibri" w:cs="Times New Roman"/>
                <w:color w:val="000000"/>
                <w:sz w:val="20"/>
                <w:szCs w:val="20"/>
              </w:rPr>
            </w:pPr>
            <w:r w:rsidRPr="000C4C35">
              <w:rPr>
                <w:rFonts w:ascii="Calibri" w:eastAsia="Times New Roman" w:hAnsi="Calibri" w:cs="Times New Roman"/>
                <w:color w:val="000000"/>
                <w:sz w:val="20"/>
                <w:szCs w:val="20"/>
              </w:rPr>
              <w:t>Eisenhower</w:t>
            </w:r>
          </w:p>
        </w:tc>
        <w:tc>
          <w:tcPr>
            <w:tcW w:w="1500" w:type="dxa"/>
            <w:tcBorders>
              <w:top w:val="nil"/>
              <w:left w:val="nil"/>
              <w:bottom w:val="single" w:sz="4" w:space="0" w:color="000000"/>
              <w:right w:val="single" w:sz="4" w:space="0" w:color="000000"/>
            </w:tcBorders>
            <w:shd w:val="clear" w:color="000000" w:fill="F2DCDB"/>
            <w:hideMark/>
          </w:tcPr>
          <w:p w14:paraId="00419967" w14:textId="77777777" w:rsidR="000C4C35" w:rsidRPr="000C4C35" w:rsidRDefault="000C4C35" w:rsidP="0046461A">
            <w:pPr>
              <w:spacing w:after="0" w:line="240" w:lineRule="auto"/>
              <w:contextualSpacing/>
              <w:rPr>
                <w:rFonts w:ascii="Calibri" w:eastAsia="Times New Roman" w:hAnsi="Calibri" w:cs="Times New Roman"/>
                <w:color w:val="000000"/>
                <w:sz w:val="20"/>
                <w:szCs w:val="20"/>
              </w:rPr>
            </w:pPr>
            <w:r w:rsidRPr="000C4C35">
              <w:rPr>
                <w:rFonts w:ascii="Calibri" w:eastAsia="Times New Roman" w:hAnsi="Calibri" w:cs="Times New Roman"/>
                <w:color w:val="000000"/>
                <w:sz w:val="20"/>
                <w:szCs w:val="20"/>
              </w:rPr>
              <w:t>8.1</w:t>
            </w:r>
          </w:p>
        </w:tc>
      </w:tr>
      <w:tr w:rsidR="000C4C35" w:rsidRPr="000C4C35" w14:paraId="234212DB" w14:textId="77777777" w:rsidTr="000C4C35">
        <w:trPr>
          <w:trHeight w:val="342"/>
          <w:jc w:val="center"/>
        </w:trPr>
        <w:tc>
          <w:tcPr>
            <w:tcW w:w="1500" w:type="dxa"/>
            <w:tcBorders>
              <w:top w:val="nil"/>
              <w:left w:val="single" w:sz="4" w:space="0" w:color="000000"/>
              <w:bottom w:val="single" w:sz="4" w:space="0" w:color="000000"/>
              <w:right w:val="single" w:sz="4" w:space="0" w:color="000000"/>
            </w:tcBorders>
            <w:shd w:val="clear" w:color="000000" w:fill="F2DCDB"/>
            <w:hideMark/>
          </w:tcPr>
          <w:p w14:paraId="698DA200" w14:textId="77777777" w:rsidR="000C4C35" w:rsidRPr="000C4C35" w:rsidRDefault="000C4C35" w:rsidP="0046461A">
            <w:pPr>
              <w:spacing w:after="0" w:line="240" w:lineRule="auto"/>
              <w:contextualSpacing/>
              <w:rPr>
                <w:rFonts w:ascii="Calibri" w:eastAsia="Times New Roman" w:hAnsi="Calibri" w:cs="Times New Roman"/>
                <w:b/>
                <w:color w:val="000000"/>
                <w:sz w:val="20"/>
                <w:szCs w:val="20"/>
              </w:rPr>
            </w:pPr>
            <w:r w:rsidRPr="000C4C35">
              <w:rPr>
                <w:rFonts w:ascii="Calibri" w:eastAsia="Times New Roman" w:hAnsi="Calibri" w:cs="Times New Roman"/>
                <w:b/>
                <w:color w:val="000000"/>
                <w:sz w:val="20"/>
                <w:szCs w:val="20"/>
              </w:rPr>
              <w:t>Souter</w:t>
            </w:r>
          </w:p>
        </w:tc>
        <w:tc>
          <w:tcPr>
            <w:tcW w:w="1500" w:type="dxa"/>
            <w:tcBorders>
              <w:top w:val="nil"/>
              <w:left w:val="nil"/>
              <w:bottom w:val="single" w:sz="4" w:space="0" w:color="000000"/>
              <w:right w:val="single" w:sz="4" w:space="0" w:color="000000"/>
            </w:tcBorders>
            <w:shd w:val="clear" w:color="000000" w:fill="F2DCDB"/>
            <w:hideMark/>
          </w:tcPr>
          <w:p w14:paraId="798CD28E" w14:textId="77777777" w:rsidR="000C4C35" w:rsidRPr="000C4C35" w:rsidRDefault="000C4C35" w:rsidP="0046461A">
            <w:pPr>
              <w:spacing w:after="0" w:line="240" w:lineRule="auto"/>
              <w:contextualSpacing/>
              <w:rPr>
                <w:rFonts w:ascii="Calibri" w:eastAsia="Times New Roman" w:hAnsi="Calibri" w:cs="Times New Roman"/>
                <w:b/>
                <w:color w:val="000000"/>
                <w:sz w:val="20"/>
                <w:szCs w:val="20"/>
              </w:rPr>
            </w:pPr>
            <w:r w:rsidRPr="000C4C35">
              <w:rPr>
                <w:rFonts w:ascii="Calibri" w:eastAsia="Times New Roman" w:hAnsi="Calibri" w:cs="Times New Roman"/>
                <w:b/>
                <w:color w:val="000000"/>
                <w:sz w:val="20"/>
                <w:szCs w:val="20"/>
              </w:rPr>
              <w:t>G.H.W. Bush</w:t>
            </w:r>
          </w:p>
        </w:tc>
        <w:tc>
          <w:tcPr>
            <w:tcW w:w="1500" w:type="dxa"/>
            <w:tcBorders>
              <w:top w:val="nil"/>
              <w:left w:val="nil"/>
              <w:bottom w:val="single" w:sz="4" w:space="0" w:color="000000"/>
              <w:right w:val="single" w:sz="4" w:space="0" w:color="000000"/>
            </w:tcBorders>
            <w:shd w:val="clear" w:color="000000" w:fill="F2DCDB"/>
            <w:hideMark/>
          </w:tcPr>
          <w:p w14:paraId="2A769BC1" w14:textId="77777777" w:rsidR="000C4C35" w:rsidRPr="000C4C35" w:rsidRDefault="000C4C35" w:rsidP="0046461A">
            <w:pPr>
              <w:spacing w:after="0" w:line="240" w:lineRule="auto"/>
              <w:contextualSpacing/>
              <w:rPr>
                <w:rFonts w:ascii="Calibri" w:eastAsia="Times New Roman" w:hAnsi="Calibri" w:cs="Times New Roman"/>
                <w:b/>
                <w:color w:val="000000"/>
                <w:sz w:val="20"/>
                <w:szCs w:val="20"/>
              </w:rPr>
            </w:pPr>
            <w:r w:rsidRPr="000C4C35">
              <w:rPr>
                <w:rFonts w:ascii="Calibri" w:eastAsia="Times New Roman" w:hAnsi="Calibri" w:cs="Times New Roman"/>
                <w:b/>
                <w:color w:val="000000"/>
                <w:sz w:val="20"/>
                <w:szCs w:val="20"/>
              </w:rPr>
              <w:t>9.2</w:t>
            </w:r>
          </w:p>
        </w:tc>
      </w:tr>
      <w:tr w:rsidR="000C4C35" w:rsidRPr="000C4C35" w14:paraId="3E9E0792" w14:textId="77777777" w:rsidTr="000C4C35">
        <w:trPr>
          <w:trHeight w:val="342"/>
          <w:jc w:val="center"/>
        </w:trPr>
        <w:tc>
          <w:tcPr>
            <w:tcW w:w="1500" w:type="dxa"/>
            <w:tcBorders>
              <w:top w:val="nil"/>
              <w:left w:val="single" w:sz="4" w:space="0" w:color="000000"/>
              <w:bottom w:val="single" w:sz="4" w:space="0" w:color="000000"/>
              <w:right w:val="single" w:sz="4" w:space="0" w:color="000000"/>
            </w:tcBorders>
            <w:shd w:val="clear" w:color="000000" w:fill="C5D9F1"/>
            <w:hideMark/>
          </w:tcPr>
          <w:p w14:paraId="38DA29EF" w14:textId="77777777" w:rsidR="000C4C35" w:rsidRPr="000C4C35" w:rsidRDefault="000C4C35" w:rsidP="0046461A">
            <w:pPr>
              <w:spacing w:after="0" w:line="240" w:lineRule="auto"/>
              <w:contextualSpacing/>
              <w:rPr>
                <w:rFonts w:ascii="Calibri" w:eastAsia="Times New Roman" w:hAnsi="Calibri" w:cs="Times New Roman"/>
                <w:b/>
                <w:color w:val="000000"/>
                <w:sz w:val="20"/>
                <w:szCs w:val="20"/>
              </w:rPr>
            </w:pPr>
            <w:r w:rsidRPr="000C4C35">
              <w:rPr>
                <w:rFonts w:ascii="Calibri" w:eastAsia="Times New Roman" w:hAnsi="Calibri" w:cs="Times New Roman"/>
                <w:b/>
                <w:color w:val="000000"/>
                <w:sz w:val="20"/>
                <w:szCs w:val="20"/>
              </w:rPr>
              <w:t>Ginsburg</w:t>
            </w:r>
          </w:p>
        </w:tc>
        <w:tc>
          <w:tcPr>
            <w:tcW w:w="1500" w:type="dxa"/>
            <w:tcBorders>
              <w:top w:val="nil"/>
              <w:left w:val="nil"/>
              <w:bottom w:val="single" w:sz="4" w:space="0" w:color="000000"/>
              <w:right w:val="single" w:sz="4" w:space="0" w:color="000000"/>
            </w:tcBorders>
            <w:shd w:val="clear" w:color="000000" w:fill="C5D9F1"/>
            <w:hideMark/>
          </w:tcPr>
          <w:p w14:paraId="24878F84" w14:textId="77777777" w:rsidR="000C4C35" w:rsidRPr="000C4C35" w:rsidRDefault="000C4C35" w:rsidP="0046461A">
            <w:pPr>
              <w:spacing w:after="0" w:line="240" w:lineRule="auto"/>
              <w:contextualSpacing/>
              <w:rPr>
                <w:rFonts w:ascii="Calibri" w:eastAsia="Times New Roman" w:hAnsi="Calibri" w:cs="Times New Roman"/>
                <w:b/>
                <w:color w:val="000000"/>
                <w:sz w:val="20"/>
                <w:szCs w:val="20"/>
              </w:rPr>
            </w:pPr>
            <w:r w:rsidRPr="000C4C35">
              <w:rPr>
                <w:rFonts w:ascii="Calibri" w:eastAsia="Times New Roman" w:hAnsi="Calibri" w:cs="Times New Roman"/>
                <w:b/>
                <w:color w:val="000000"/>
                <w:sz w:val="20"/>
                <w:szCs w:val="20"/>
              </w:rPr>
              <w:t>Clinton</w:t>
            </w:r>
          </w:p>
        </w:tc>
        <w:tc>
          <w:tcPr>
            <w:tcW w:w="1500" w:type="dxa"/>
            <w:tcBorders>
              <w:top w:val="nil"/>
              <w:left w:val="nil"/>
              <w:bottom w:val="single" w:sz="4" w:space="0" w:color="000000"/>
              <w:right w:val="single" w:sz="4" w:space="0" w:color="000000"/>
            </w:tcBorders>
            <w:shd w:val="clear" w:color="000000" w:fill="C5D9F1"/>
            <w:hideMark/>
          </w:tcPr>
          <w:p w14:paraId="7F997EAF" w14:textId="77777777" w:rsidR="000C4C35" w:rsidRPr="000C4C35" w:rsidRDefault="000C4C35" w:rsidP="0046461A">
            <w:pPr>
              <w:spacing w:after="0" w:line="240" w:lineRule="auto"/>
              <w:contextualSpacing/>
              <w:rPr>
                <w:rFonts w:ascii="Calibri" w:eastAsia="Times New Roman" w:hAnsi="Calibri" w:cs="Times New Roman"/>
                <w:b/>
                <w:color w:val="000000"/>
                <w:sz w:val="20"/>
                <w:szCs w:val="20"/>
              </w:rPr>
            </w:pPr>
            <w:r w:rsidRPr="000C4C35">
              <w:rPr>
                <w:rFonts w:ascii="Calibri" w:eastAsia="Times New Roman" w:hAnsi="Calibri" w:cs="Times New Roman"/>
                <w:b/>
                <w:color w:val="000000"/>
                <w:sz w:val="20"/>
                <w:szCs w:val="20"/>
              </w:rPr>
              <w:t>13.2</w:t>
            </w:r>
          </w:p>
        </w:tc>
      </w:tr>
      <w:tr w:rsidR="000C4C35" w:rsidRPr="000C4C35" w14:paraId="0A3EFFBF" w14:textId="77777777" w:rsidTr="000C4C35">
        <w:trPr>
          <w:trHeight w:val="342"/>
          <w:jc w:val="center"/>
        </w:trPr>
        <w:tc>
          <w:tcPr>
            <w:tcW w:w="1500" w:type="dxa"/>
            <w:tcBorders>
              <w:top w:val="nil"/>
              <w:left w:val="single" w:sz="4" w:space="0" w:color="000000"/>
              <w:bottom w:val="single" w:sz="4" w:space="0" w:color="000000"/>
              <w:right w:val="single" w:sz="4" w:space="0" w:color="000000"/>
            </w:tcBorders>
            <w:shd w:val="clear" w:color="000000" w:fill="F2DCDB"/>
            <w:hideMark/>
          </w:tcPr>
          <w:p w14:paraId="4F953997" w14:textId="77777777" w:rsidR="000C4C35" w:rsidRPr="000C4C35" w:rsidRDefault="000C4C35" w:rsidP="0046461A">
            <w:pPr>
              <w:spacing w:after="0" w:line="240" w:lineRule="auto"/>
              <w:contextualSpacing/>
              <w:rPr>
                <w:rFonts w:ascii="Calibri" w:eastAsia="Times New Roman" w:hAnsi="Calibri" w:cs="Times New Roman"/>
                <w:b/>
                <w:color w:val="000000"/>
                <w:sz w:val="20"/>
                <w:szCs w:val="20"/>
              </w:rPr>
            </w:pPr>
            <w:r w:rsidRPr="000C4C35">
              <w:rPr>
                <w:rFonts w:ascii="Calibri" w:eastAsia="Times New Roman" w:hAnsi="Calibri" w:cs="Times New Roman"/>
                <w:b/>
                <w:color w:val="000000"/>
                <w:sz w:val="20"/>
                <w:szCs w:val="20"/>
              </w:rPr>
              <w:t>Stevens</w:t>
            </w:r>
          </w:p>
        </w:tc>
        <w:tc>
          <w:tcPr>
            <w:tcW w:w="1500" w:type="dxa"/>
            <w:tcBorders>
              <w:top w:val="nil"/>
              <w:left w:val="nil"/>
              <w:bottom w:val="single" w:sz="4" w:space="0" w:color="000000"/>
              <w:right w:val="single" w:sz="4" w:space="0" w:color="000000"/>
            </w:tcBorders>
            <w:shd w:val="clear" w:color="000000" w:fill="F2DCDB"/>
            <w:hideMark/>
          </w:tcPr>
          <w:p w14:paraId="2ACF2F9F" w14:textId="77777777" w:rsidR="000C4C35" w:rsidRPr="000C4C35" w:rsidRDefault="000C4C35" w:rsidP="0046461A">
            <w:pPr>
              <w:spacing w:after="0" w:line="240" w:lineRule="auto"/>
              <w:contextualSpacing/>
              <w:rPr>
                <w:rFonts w:ascii="Calibri" w:eastAsia="Times New Roman" w:hAnsi="Calibri" w:cs="Times New Roman"/>
                <w:b/>
                <w:color w:val="000000"/>
                <w:sz w:val="20"/>
                <w:szCs w:val="20"/>
              </w:rPr>
            </w:pPr>
            <w:r w:rsidRPr="000C4C35">
              <w:rPr>
                <w:rFonts w:ascii="Calibri" w:eastAsia="Times New Roman" w:hAnsi="Calibri" w:cs="Times New Roman"/>
                <w:b/>
                <w:color w:val="000000"/>
                <w:sz w:val="20"/>
                <w:szCs w:val="20"/>
              </w:rPr>
              <w:t>Ford</w:t>
            </w:r>
          </w:p>
        </w:tc>
        <w:tc>
          <w:tcPr>
            <w:tcW w:w="1500" w:type="dxa"/>
            <w:tcBorders>
              <w:top w:val="nil"/>
              <w:left w:val="nil"/>
              <w:bottom w:val="single" w:sz="4" w:space="0" w:color="000000"/>
              <w:right w:val="single" w:sz="4" w:space="0" w:color="000000"/>
            </w:tcBorders>
            <w:shd w:val="clear" w:color="000000" w:fill="F2DCDB"/>
            <w:hideMark/>
          </w:tcPr>
          <w:p w14:paraId="6962B177" w14:textId="77777777" w:rsidR="000C4C35" w:rsidRPr="000C4C35" w:rsidRDefault="000C4C35" w:rsidP="0046461A">
            <w:pPr>
              <w:spacing w:after="0" w:line="240" w:lineRule="auto"/>
              <w:contextualSpacing/>
              <w:rPr>
                <w:rFonts w:ascii="Calibri" w:eastAsia="Times New Roman" w:hAnsi="Calibri" w:cs="Times New Roman"/>
                <w:b/>
                <w:color w:val="000000"/>
                <w:sz w:val="20"/>
                <w:szCs w:val="20"/>
              </w:rPr>
            </w:pPr>
            <w:r w:rsidRPr="000C4C35">
              <w:rPr>
                <w:rFonts w:ascii="Calibri" w:eastAsia="Times New Roman" w:hAnsi="Calibri" w:cs="Times New Roman"/>
                <w:b/>
                <w:color w:val="000000"/>
                <w:sz w:val="20"/>
                <w:szCs w:val="20"/>
              </w:rPr>
              <w:t>15.9</w:t>
            </w:r>
          </w:p>
        </w:tc>
      </w:tr>
      <w:tr w:rsidR="000C4C35" w:rsidRPr="000C4C35" w14:paraId="55349079" w14:textId="77777777" w:rsidTr="000C4C35">
        <w:trPr>
          <w:trHeight w:val="342"/>
          <w:jc w:val="center"/>
        </w:trPr>
        <w:tc>
          <w:tcPr>
            <w:tcW w:w="1500" w:type="dxa"/>
            <w:tcBorders>
              <w:top w:val="nil"/>
              <w:left w:val="single" w:sz="4" w:space="0" w:color="000000"/>
              <w:bottom w:val="single" w:sz="4" w:space="0" w:color="000000"/>
              <w:right w:val="single" w:sz="4" w:space="0" w:color="000000"/>
            </w:tcBorders>
            <w:shd w:val="clear" w:color="000000" w:fill="F2DCDB"/>
            <w:hideMark/>
          </w:tcPr>
          <w:p w14:paraId="2DE5E9E0" w14:textId="77777777" w:rsidR="000C4C35" w:rsidRPr="000C4C35" w:rsidRDefault="000C4C35" w:rsidP="0046461A">
            <w:pPr>
              <w:spacing w:after="0" w:line="240" w:lineRule="auto"/>
              <w:contextualSpacing/>
              <w:rPr>
                <w:rFonts w:ascii="Calibri" w:eastAsia="Times New Roman" w:hAnsi="Calibri" w:cs="Times New Roman"/>
                <w:color w:val="000000"/>
                <w:sz w:val="20"/>
                <w:szCs w:val="20"/>
              </w:rPr>
            </w:pPr>
            <w:r w:rsidRPr="000C4C35">
              <w:rPr>
                <w:rFonts w:ascii="Calibri" w:eastAsia="Times New Roman" w:hAnsi="Calibri" w:cs="Times New Roman"/>
                <w:color w:val="000000"/>
                <w:sz w:val="20"/>
                <w:szCs w:val="20"/>
              </w:rPr>
              <w:t>Brennan</w:t>
            </w:r>
          </w:p>
        </w:tc>
        <w:tc>
          <w:tcPr>
            <w:tcW w:w="1500" w:type="dxa"/>
            <w:tcBorders>
              <w:top w:val="nil"/>
              <w:left w:val="nil"/>
              <w:bottom w:val="single" w:sz="4" w:space="0" w:color="000000"/>
              <w:right w:val="single" w:sz="4" w:space="0" w:color="000000"/>
            </w:tcBorders>
            <w:shd w:val="clear" w:color="000000" w:fill="F2DCDB"/>
            <w:hideMark/>
          </w:tcPr>
          <w:p w14:paraId="684A05A6" w14:textId="77777777" w:rsidR="000C4C35" w:rsidRPr="000C4C35" w:rsidRDefault="000C4C35" w:rsidP="0046461A">
            <w:pPr>
              <w:spacing w:after="0" w:line="240" w:lineRule="auto"/>
              <w:contextualSpacing/>
              <w:rPr>
                <w:rFonts w:ascii="Calibri" w:eastAsia="Times New Roman" w:hAnsi="Calibri" w:cs="Times New Roman"/>
                <w:color w:val="000000"/>
                <w:sz w:val="20"/>
                <w:szCs w:val="20"/>
              </w:rPr>
            </w:pPr>
            <w:r w:rsidRPr="000C4C35">
              <w:rPr>
                <w:rFonts w:ascii="Calibri" w:eastAsia="Times New Roman" w:hAnsi="Calibri" w:cs="Times New Roman"/>
                <w:color w:val="000000"/>
                <w:sz w:val="20"/>
                <w:szCs w:val="20"/>
              </w:rPr>
              <w:t>Eisenhower</w:t>
            </w:r>
          </w:p>
        </w:tc>
        <w:tc>
          <w:tcPr>
            <w:tcW w:w="1500" w:type="dxa"/>
            <w:tcBorders>
              <w:top w:val="nil"/>
              <w:left w:val="nil"/>
              <w:bottom w:val="single" w:sz="4" w:space="0" w:color="000000"/>
              <w:right w:val="single" w:sz="4" w:space="0" w:color="000000"/>
            </w:tcBorders>
            <w:shd w:val="clear" w:color="000000" w:fill="F2DCDB"/>
            <w:hideMark/>
          </w:tcPr>
          <w:p w14:paraId="7AC791E2" w14:textId="77777777" w:rsidR="000C4C35" w:rsidRPr="000C4C35" w:rsidRDefault="000C4C35" w:rsidP="0046461A">
            <w:pPr>
              <w:spacing w:after="0" w:line="240" w:lineRule="auto"/>
              <w:contextualSpacing/>
              <w:rPr>
                <w:rFonts w:ascii="Calibri" w:eastAsia="Times New Roman" w:hAnsi="Calibri" w:cs="Times New Roman"/>
                <w:color w:val="000000"/>
                <w:sz w:val="20"/>
                <w:szCs w:val="20"/>
              </w:rPr>
            </w:pPr>
            <w:r w:rsidRPr="000C4C35">
              <w:rPr>
                <w:rFonts w:ascii="Calibri" w:eastAsia="Times New Roman" w:hAnsi="Calibri" w:cs="Times New Roman"/>
                <w:color w:val="000000"/>
                <w:sz w:val="20"/>
                <w:szCs w:val="20"/>
              </w:rPr>
              <w:t>16.0</w:t>
            </w:r>
          </w:p>
        </w:tc>
      </w:tr>
      <w:tr w:rsidR="000C4C35" w:rsidRPr="000C4C35" w14:paraId="7E6077D6" w14:textId="77777777" w:rsidTr="000C4C35">
        <w:trPr>
          <w:trHeight w:val="342"/>
          <w:jc w:val="center"/>
        </w:trPr>
        <w:tc>
          <w:tcPr>
            <w:tcW w:w="1500" w:type="dxa"/>
            <w:tcBorders>
              <w:top w:val="nil"/>
              <w:left w:val="single" w:sz="4" w:space="0" w:color="000000"/>
              <w:bottom w:val="single" w:sz="4" w:space="0" w:color="000000"/>
              <w:right w:val="single" w:sz="4" w:space="0" w:color="000000"/>
            </w:tcBorders>
            <w:shd w:val="clear" w:color="000000" w:fill="C5D9F1"/>
            <w:hideMark/>
          </w:tcPr>
          <w:p w14:paraId="5C975815" w14:textId="77777777" w:rsidR="000C4C35" w:rsidRPr="000C4C35" w:rsidRDefault="000C4C35" w:rsidP="0046461A">
            <w:pPr>
              <w:spacing w:after="0" w:line="240" w:lineRule="auto"/>
              <w:contextualSpacing/>
              <w:rPr>
                <w:rFonts w:ascii="Calibri" w:eastAsia="Times New Roman" w:hAnsi="Calibri" w:cs="Times New Roman"/>
                <w:color w:val="000000"/>
                <w:sz w:val="20"/>
                <w:szCs w:val="20"/>
              </w:rPr>
            </w:pPr>
            <w:r w:rsidRPr="000C4C35">
              <w:rPr>
                <w:rFonts w:ascii="Calibri" w:eastAsia="Times New Roman" w:hAnsi="Calibri" w:cs="Times New Roman"/>
                <w:color w:val="000000"/>
                <w:sz w:val="20"/>
                <w:szCs w:val="20"/>
              </w:rPr>
              <w:t>Marshall</w:t>
            </w:r>
          </w:p>
        </w:tc>
        <w:tc>
          <w:tcPr>
            <w:tcW w:w="1500" w:type="dxa"/>
            <w:tcBorders>
              <w:top w:val="nil"/>
              <w:left w:val="nil"/>
              <w:bottom w:val="single" w:sz="4" w:space="0" w:color="000000"/>
              <w:right w:val="single" w:sz="4" w:space="0" w:color="000000"/>
            </w:tcBorders>
            <w:shd w:val="clear" w:color="000000" w:fill="C5D9F1"/>
            <w:hideMark/>
          </w:tcPr>
          <w:p w14:paraId="351B0D93" w14:textId="77777777" w:rsidR="000C4C35" w:rsidRPr="000C4C35" w:rsidRDefault="000C4C35" w:rsidP="0046461A">
            <w:pPr>
              <w:spacing w:after="0" w:line="240" w:lineRule="auto"/>
              <w:contextualSpacing/>
              <w:rPr>
                <w:rFonts w:ascii="Calibri" w:eastAsia="Times New Roman" w:hAnsi="Calibri" w:cs="Times New Roman"/>
                <w:color w:val="000000"/>
                <w:sz w:val="20"/>
                <w:szCs w:val="20"/>
              </w:rPr>
            </w:pPr>
            <w:r w:rsidRPr="000C4C35">
              <w:rPr>
                <w:rFonts w:ascii="Calibri" w:eastAsia="Times New Roman" w:hAnsi="Calibri" w:cs="Times New Roman"/>
                <w:color w:val="000000"/>
                <w:sz w:val="20"/>
                <w:szCs w:val="20"/>
              </w:rPr>
              <w:t>Johnson</w:t>
            </w:r>
          </w:p>
        </w:tc>
        <w:tc>
          <w:tcPr>
            <w:tcW w:w="1500" w:type="dxa"/>
            <w:tcBorders>
              <w:top w:val="nil"/>
              <w:left w:val="nil"/>
              <w:bottom w:val="single" w:sz="4" w:space="0" w:color="000000"/>
              <w:right w:val="single" w:sz="4" w:space="0" w:color="000000"/>
            </w:tcBorders>
            <w:shd w:val="clear" w:color="000000" w:fill="C5D9F1"/>
            <w:hideMark/>
          </w:tcPr>
          <w:p w14:paraId="69E4821D" w14:textId="77777777" w:rsidR="000C4C35" w:rsidRPr="000C4C35" w:rsidRDefault="000C4C35" w:rsidP="0046461A">
            <w:pPr>
              <w:spacing w:after="0" w:line="240" w:lineRule="auto"/>
              <w:contextualSpacing/>
              <w:rPr>
                <w:rFonts w:ascii="Calibri" w:eastAsia="Times New Roman" w:hAnsi="Calibri" w:cs="Times New Roman"/>
                <w:color w:val="000000"/>
                <w:sz w:val="20"/>
                <w:szCs w:val="20"/>
              </w:rPr>
            </w:pPr>
            <w:r w:rsidRPr="000C4C35">
              <w:rPr>
                <w:rFonts w:ascii="Calibri" w:eastAsia="Times New Roman" w:hAnsi="Calibri" w:cs="Times New Roman"/>
                <w:color w:val="000000"/>
                <w:sz w:val="20"/>
                <w:szCs w:val="20"/>
              </w:rPr>
              <w:t>20.1</w:t>
            </w:r>
          </w:p>
        </w:tc>
      </w:tr>
      <w:tr w:rsidR="000C4C35" w:rsidRPr="000C4C35" w14:paraId="390E8A6C" w14:textId="77777777" w:rsidTr="000C4C35">
        <w:trPr>
          <w:trHeight w:val="342"/>
          <w:jc w:val="center"/>
        </w:trPr>
        <w:tc>
          <w:tcPr>
            <w:tcW w:w="1500" w:type="dxa"/>
            <w:tcBorders>
              <w:top w:val="nil"/>
              <w:left w:val="single" w:sz="4" w:space="0" w:color="000000"/>
              <w:bottom w:val="single" w:sz="4" w:space="0" w:color="000000"/>
              <w:right w:val="single" w:sz="4" w:space="0" w:color="000000"/>
            </w:tcBorders>
            <w:shd w:val="clear" w:color="000000" w:fill="B8CCE4"/>
            <w:hideMark/>
          </w:tcPr>
          <w:p w14:paraId="55E23CC2" w14:textId="77777777" w:rsidR="000C4C35" w:rsidRPr="000C4C35" w:rsidRDefault="000C4C35" w:rsidP="0046461A">
            <w:pPr>
              <w:spacing w:after="0" w:line="240" w:lineRule="auto"/>
              <w:contextualSpacing/>
              <w:rPr>
                <w:rFonts w:ascii="Calibri" w:eastAsia="Times New Roman" w:hAnsi="Calibri" w:cs="Times New Roman"/>
                <w:color w:val="000000"/>
                <w:sz w:val="20"/>
                <w:szCs w:val="20"/>
              </w:rPr>
            </w:pPr>
            <w:r w:rsidRPr="000C4C35">
              <w:rPr>
                <w:rFonts w:ascii="Calibri" w:eastAsia="Times New Roman" w:hAnsi="Calibri" w:cs="Times New Roman"/>
                <w:color w:val="000000"/>
                <w:sz w:val="20"/>
                <w:szCs w:val="20"/>
              </w:rPr>
              <w:t>Black</w:t>
            </w:r>
          </w:p>
        </w:tc>
        <w:tc>
          <w:tcPr>
            <w:tcW w:w="1500" w:type="dxa"/>
            <w:tcBorders>
              <w:top w:val="nil"/>
              <w:left w:val="nil"/>
              <w:bottom w:val="single" w:sz="4" w:space="0" w:color="000000"/>
              <w:right w:val="single" w:sz="4" w:space="0" w:color="000000"/>
            </w:tcBorders>
            <w:shd w:val="clear" w:color="000000" w:fill="B8CCE4"/>
            <w:hideMark/>
          </w:tcPr>
          <w:p w14:paraId="6341CD98" w14:textId="77777777" w:rsidR="000C4C35" w:rsidRPr="000C4C35" w:rsidRDefault="000C4C35" w:rsidP="0046461A">
            <w:pPr>
              <w:spacing w:after="0" w:line="240" w:lineRule="auto"/>
              <w:contextualSpacing/>
              <w:rPr>
                <w:rFonts w:ascii="Calibri" w:eastAsia="Times New Roman" w:hAnsi="Calibri" w:cs="Times New Roman"/>
                <w:color w:val="000000"/>
                <w:sz w:val="20"/>
                <w:szCs w:val="20"/>
              </w:rPr>
            </w:pPr>
            <w:r w:rsidRPr="000C4C35">
              <w:rPr>
                <w:rFonts w:ascii="Calibri" w:eastAsia="Times New Roman" w:hAnsi="Calibri" w:cs="Times New Roman"/>
                <w:color w:val="000000"/>
                <w:sz w:val="20"/>
                <w:szCs w:val="20"/>
              </w:rPr>
              <w:t>Roosevelt</w:t>
            </w:r>
          </w:p>
        </w:tc>
        <w:tc>
          <w:tcPr>
            <w:tcW w:w="1500" w:type="dxa"/>
            <w:tcBorders>
              <w:top w:val="nil"/>
              <w:left w:val="nil"/>
              <w:bottom w:val="single" w:sz="4" w:space="0" w:color="000000"/>
              <w:right w:val="single" w:sz="4" w:space="0" w:color="000000"/>
            </w:tcBorders>
            <w:shd w:val="clear" w:color="000000" w:fill="B8CCE4"/>
            <w:hideMark/>
          </w:tcPr>
          <w:p w14:paraId="6E79285E" w14:textId="77777777" w:rsidR="000C4C35" w:rsidRPr="000C4C35" w:rsidRDefault="000C4C35" w:rsidP="0046461A">
            <w:pPr>
              <w:spacing w:after="0" w:line="240" w:lineRule="auto"/>
              <w:contextualSpacing/>
              <w:rPr>
                <w:rFonts w:ascii="Calibri" w:eastAsia="Times New Roman" w:hAnsi="Calibri" w:cs="Times New Roman"/>
                <w:color w:val="000000"/>
                <w:sz w:val="20"/>
                <w:szCs w:val="20"/>
              </w:rPr>
            </w:pPr>
            <w:r w:rsidRPr="000C4C35">
              <w:rPr>
                <w:rFonts w:ascii="Calibri" w:eastAsia="Times New Roman" w:hAnsi="Calibri" w:cs="Times New Roman"/>
                <w:color w:val="000000"/>
                <w:sz w:val="20"/>
                <w:szCs w:val="20"/>
              </w:rPr>
              <w:t>23.3</w:t>
            </w:r>
          </w:p>
        </w:tc>
      </w:tr>
      <w:tr w:rsidR="000C4C35" w:rsidRPr="000C4C35" w14:paraId="1F66543A" w14:textId="77777777" w:rsidTr="000C4C35">
        <w:trPr>
          <w:trHeight w:val="342"/>
          <w:jc w:val="center"/>
        </w:trPr>
        <w:tc>
          <w:tcPr>
            <w:tcW w:w="1500" w:type="dxa"/>
            <w:tcBorders>
              <w:top w:val="nil"/>
              <w:left w:val="single" w:sz="4" w:space="0" w:color="000000"/>
              <w:bottom w:val="single" w:sz="4" w:space="0" w:color="000000"/>
              <w:right w:val="single" w:sz="4" w:space="0" w:color="000000"/>
            </w:tcBorders>
            <w:shd w:val="clear" w:color="000000" w:fill="C5D9F1"/>
            <w:hideMark/>
          </w:tcPr>
          <w:p w14:paraId="7DE116D7" w14:textId="77777777" w:rsidR="000C4C35" w:rsidRPr="000C4C35" w:rsidRDefault="000C4C35" w:rsidP="0046461A">
            <w:pPr>
              <w:spacing w:after="0" w:line="240" w:lineRule="auto"/>
              <w:contextualSpacing/>
              <w:rPr>
                <w:rFonts w:ascii="Calibri" w:eastAsia="Times New Roman" w:hAnsi="Calibri" w:cs="Times New Roman"/>
                <w:color w:val="000000"/>
                <w:sz w:val="20"/>
                <w:szCs w:val="20"/>
              </w:rPr>
            </w:pPr>
            <w:r w:rsidRPr="000C4C35">
              <w:rPr>
                <w:rFonts w:ascii="Calibri" w:eastAsia="Times New Roman" w:hAnsi="Calibri" w:cs="Times New Roman"/>
                <w:color w:val="000000"/>
                <w:sz w:val="20"/>
                <w:szCs w:val="20"/>
              </w:rPr>
              <w:t>Frankfurter</w:t>
            </w:r>
          </w:p>
        </w:tc>
        <w:tc>
          <w:tcPr>
            <w:tcW w:w="1500" w:type="dxa"/>
            <w:tcBorders>
              <w:top w:val="nil"/>
              <w:left w:val="nil"/>
              <w:bottom w:val="single" w:sz="4" w:space="0" w:color="000000"/>
              <w:right w:val="single" w:sz="4" w:space="0" w:color="000000"/>
            </w:tcBorders>
            <w:shd w:val="clear" w:color="000000" w:fill="C5D9F1"/>
            <w:hideMark/>
          </w:tcPr>
          <w:p w14:paraId="3F362C7E" w14:textId="77777777" w:rsidR="000C4C35" w:rsidRPr="000C4C35" w:rsidRDefault="000C4C35" w:rsidP="0046461A">
            <w:pPr>
              <w:spacing w:after="0" w:line="240" w:lineRule="auto"/>
              <w:contextualSpacing/>
              <w:rPr>
                <w:rFonts w:ascii="Calibri" w:eastAsia="Times New Roman" w:hAnsi="Calibri" w:cs="Times New Roman"/>
                <w:color w:val="000000"/>
                <w:sz w:val="20"/>
                <w:szCs w:val="20"/>
              </w:rPr>
            </w:pPr>
            <w:r w:rsidRPr="000C4C35">
              <w:rPr>
                <w:rFonts w:ascii="Calibri" w:eastAsia="Times New Roman" w:hAnsi="Calibri" w:cs="Times New Roman"/>
                <w:color w:val="000000"/>
                <w:sz w:val="20"/>
                <w:szCs w:val="20"/>
              </w:rPr>
              <w:t>Roosevelt</w:t>
            </w:r>
          </w:p>
        </w:tc>
        <w:tc>
          <w:tcPr>
            <w:tcW w:w="1500" w:type="dxa"/>
            <w:tcBorders>
              <w:top w:val="nil"/>
              <w:left w:val="nil"/>
              <w:bottom w:val="single" w:sz="4" w:space="0" w:color="000000"/>
              <w:right w:val="single" w:sz="4" w:space="0" w:color="000000"/>
            </w:tcBorders>
            <w:shd w:val="clear" w:color="000000" w:fill="C5D9F1"/>
            <w:hideMark/>
          </w:tcPr>
          <w:p w14:paraId="1C55B751" w14:textId="77777777" w:rsidR="000C4C35" w:rsidRPr="000C4C35" w:rsidRDefault="000C4C35" w:rsidP="0046461A">
            <w:pPr>
              <w:spacing w:after="0" w:line="240" w:lineRule="auto"/>
              <w:contextualSpacing/>
              <w:rPr>
                <w:rFonts w:ascii="Calibri" w:eastAsia="Times New Roman" w:hAnsi="Calibri" w:cs="Times New Roman"/>
                <w:color w:val="000000"/>
                <w:sz w:val="20"/>
                <w:szCs w:val="20"/>
              </w:rPr>
            </w:pPr>
            <w:r w:rsidRPr="000C4C35">
              <w:rPr>
                <w:rFonts w:ascii="Calibri" w:eastAsia="Times New Roman" w:hAnsi="Calibri" w:cs="Times New Roman"/>
                <w:color w:val="000000"/>
                <w:sz w:val="20"/>
                <w:szCs w:val="20"/>
              </w:rPr>
              <w:t>23.6</w:t>
            </w:r>
          </w:p>
        </w:tc>
      </w:tr>
      <w:tr w:rsidR="000C4C35" w:rsidRPr="000C4C35" w14:paraId="13AB31BB" w14:textId="77777777" w:rsidTr="000C4C35">
        <w:trPr>
          <w:trHeight w:val="342"/>
          <w:jc w:val="center"/>
        </w:trPr>
        <w:tc>
          <w:tcPr>
            <w:tcW w:w="1500" w:type="dxa"/>
            <w:tcBorders>
              <w:top w:val="nil"/>
              <w:left w:val="single" w:sz="4" w:space="0" w:color="000000"/>
              <w:bottom w:val="single" w:sz="4" w:space="0" w:color="000000"/>
              <w:right w:val="single" w:sz="4" w:space="0" w:color="000000"/>
            </w:tcBorders>
            <w:shd w:val="clear" w:color="000000" w:fill="C5D9F1"/>
            <w:hideMark/>
          </w:tcPr>
          <w:p w14:paraId="33B9F895" w14:textId="77777777" w:rsidR="000C4C35" w:rsidRPr="000C4C35" w:rsidRDefault="000C4C35" w:rsidP="0046461A">
            <w:pPr>
              <w:spacing w:after="0" w:line="240" w:lineRule="auto"/>
              <w:contextualSpacing/>
              <w:rPr>
                <w:rFonts w:ascii="Calibri" w:eastAsia="Times New Roman" w:hAnsi="Calibri" w:cs="Times New Roman"/>
                <w:color w:val="000000"/>
                <w:sz w:val="20"/>
                <w:szCs w:val="20"/>
              </w:rPr>
            </w:pPr>
            <w:r w:rsidRPr="000C4C35">
              <w:rPr>
                <w:rFonts w:ascii="Calibri" w:eastAsia="Times New Roman" w:hAnsi="Calibri" w:cs="Times New Roman"/>
                <w:color w:val="000000"/>
                <w:sz w:val="20"/>
                <w:szCs w:val="20"/>
              </w:rPr>
              <w:t>Douglas</w:t>
            </w:r>
          </w:p>
        </w:tc>
        <w:tc>
          <w:tcPr>
            <w:tcW w:w="1500" w:type="dxa"/>
            <w:tcBorders>
              <w:top w:val="nil"/>
              <w:left w:val="nil"/>
              <w:bottom w:val="single" w:sz="4" w:space="0" w:color="000000"/>
              <w:right w:val="single" w:sz="4" w:space="0" w:color="000000"/>
            </w:tcBorders>
            <w:shd w:val="clear" w:color="000000" w:fill="C5D9F1"/>
            <w:hideMark/>
          </w:tcPr>
          <w:p w14:paraId="008238DC" w14:textId="77777777" w:rsidR="000C4C35" w:rsidRPr="000C4C35" w:rsidRDefault="000C4C35" w:rsidP="0046461A">
            <w:pPr>
              <w:spacing w:after="0" w:line="240" w:lineRule="auto"/>
              <w:contextualSpacing/>
              <w:rPr>
                <w:rFonts w:ascii="Calibri" w:eastAsia="Times New Roman" w:hAnsi="Calibri" w:cs="Times New Roman"/>
                <w:color w:val="000000"/>
                <w:sz w:val="20"/>
                <w:szCs w:val="20"/>
              </w:rPr>
            </w:pPr>
            <w:r w:rsidRPr="000C4C35">
              <w:rPr>
                <w:rFonts w:ascii="Calibri" w:eastAsia="Times New Roman" w:hAnsi="Calibri" w:cs="Times New Roman"/>
                <w:color w:val="000000"/>
                <w:sz w:val="20"/>
                <w:szCs w:val="20"/>
              </w:rPr>
              <w:t>Roosevelt</w:t>
            </w:r>
          </w:p>
        </w:tc>
        <w:tc>
          <w:tcPr>
            <w:tcW w:w="1500" w:type="dxa"/>
            <w:tcBorders>
              <w:top w:val="nil"/>
              <w:left w:val="nil"/>
              <w:bottom w:val="single" w:sz="4" w:space="0" w:color="000000"/>
              <w:right w:val="single" w:sz="4" w:space="0" w:color="000000"/>
            </w:tcBorders>
            <w:shd w:val="clear" w:color="000000" w:fill="C5D9F1"/>
            <w:hideMark/>
          </w:tcPr>
          <w:p w14:paraId="1ECC0366" w14:textId="77777777" w:rsidR="000C4C35" w:rsidRPr="000C4C35" w:rsidRDefault="000C4C35" w:rsidP="0046461A">
            <w:pPr>
              <w:spacing w:after="0" w:line="240" w:lineRule="auto"/>
              <w:contextualSpacing/>
              <w:rPr>
                <w:rFonts w:ascii="Calibri" w:eastAsia="Times New Roman" w:hAnsi="Calibri" w:cs="Times New Roman"/>
                <w:color w:val="000000"/>
                <w:sz w:val="20"/>
                <w:szCs w:val="20"/>
              </w:rPr>
            </w:pPr>
            <w:r w:rsidRPr="000C4C35">
              <w:rPr>
                <w:rFonts w:ascii="Calibri" w:eastAsia="Times New Roman" w:hAnsi="Calibri" w:cs="Times New Roman"/>
                <w:color w:val="000000"/>
                <w:sz w:val="20"/>
                <w:szCs w:val="20"/>
              </w:rPr>
              <w:t>34.0</w:t>
            </w:r>
          </w:p>
        </w:tc>
      </w:tr>
      <w:tr w:rsidR="000C4C35" w:rsidRPr="000C4C35" w14:paraId="22501999" w14:textId="77777777" w:rsidTr="000C4C35">
        <w:trPr>
          <w:trHeight w:val="342"/>
          <w:jc w:val="center"/>
        </w:trPr>
        <w:tc>
          <w:tcPr>
            <w:tcW w:w="1500" w:type="dxa"/>
            <w:tcBorders>
              <w:top w:val="nil"/>
              <w:left w:val="single" w:sz="4" w:space="0" w:color="000000"/>
              <w:bottom w:val="single" w:sz="4" w:space="0" w:color="000000"/>
              <w:right w:val="single" w:sz="4" w:space="0" w:color="000000"/>
            </w:tcBorders>
            <w:shd w:val="clear" w:color="000000" w:fill="F2DCDB"/>
            <w:hideMark/>
          </w:tcPr>
          <w:p w14:paraId="299F9177" w14:textId="77777777" w:rsidR="000C4C35" w:rsidRPr="000C4C35" w:rsidRDefault="000C4C35" w:rsidP="0046461A">
            <w:pPr>
              <w:spacing w:after="0" w:line="240" w:lineRule="auto"/>
              <w:contextualSpacing/>
              <w:rPr>
                <w:rFonts w:ascii="Calibri" w:eastAsia="Times New Roman" w:hAnsi="Calibri" w:cs="Times New Roman"/>
                <w:color w:val="000000"/>
                <w:sz w:val="20"/>
                <w:szCs w:val="20"/>
              </w:rPr>
            </w:pPr>
            <w:r w:rsidRPr="000C4C35">
              <w:rPr>
                <w:rFonts w:ascii="Calibri" w:eastAsia="Times New Roman" w:hAnsi="Calibri" w:cs="Times New Roman"/>
                <w:color w:val="000000"/>
                <w:sz w:val="20"/>
                <w:szCs w:val="20"/>
              </w:rPr>
              <w:t>Warren</w:t>
            </w:r>
          </w:p>
        </w:tc>
        <w:tc>
          <w:tcPr>
            <w:tcW w:w="1500" w:type="dxa"/>
            <w:tcBorders>
              <w:top w:val="nil"/>
              <w:left w:val="nil"/>
              <w:bottom w:val="single" w:sz="4" w:space="0" w:color="000000"/>
              <w:right w:val="single" w:sz="4" w:space="0" w:color="000000"/>
            </w:tcBorders>
            <w:shd w:val="clear" w:color="000000" w:fill="F2DCDB"/>
            <w:hideMark/>
          </w:tcPr>
          <w:p w14:paraId="699C38BD" w14:textId="77777777" w:rsidR="000C4C35" w:rsidRPr="000C4C35" w:rsidRDefault="000C4C35" w:rsidP="0046461A">
            <w:pPr>
              <w:spacing w:after="0" w:line="240" w:lineRule="auto"/>
              <w:contextualSpacing/>
              <w:rPr>
                <w:rFonts w:ascii="Calibri" w:eastAsia="Times New Roman" w:hAnsi="Calibri" w:cs="Times New Roman"/>
                <w:color w:val="000000"/>
                <w:sz w:val="20"/>
                <w:szCs w:val="20"/>
              </w:rPr>
            </w:pPr>
            <w:r w:rsidRPr="000C4C35">
              <w:rPr>
                <w:rFonts w:ascii="Calibri" w:eastAsia="Times New Roman" w:hAnsi="Calibri" w:cs="Times New Roman"/>
                <w:color w:val="000000"/>
                <w:sz w:val="20"/>
                <w:szCs w:val="20"/>
              </w:rPr>
              <w:t>Eisenhower</w:t>
            </w:r>
          </w:p>
        </w:tc>
        <w:tc>
          <w:tcPr>
            <w:tcW w:w="1500" w:type="dxa"/>
            <w:tcBorders>
              <w:top w:val="nil"/>
              <w:left w:val="nil"/>
              <w:bottom w:val="single" w:sz="4" w:space="0" w:color="000000"/>
              <w:right w:val="single" w:sz="4" w:space="0" w:color="000000"/>
            </w:tcBorders>
            <w:shd w:val="clear" w:color="000000" w:fill="F2DCDB"/>
            <w:hideMark/>
          </w:tcPr>
          <w:p w14:paraId="29399D31" w14:textId="77777777" w:rsidR="000C4C35" w:rsidRPr="000C4C35" w:rsidRDefault="000C4C35" w:rsidP="0046461A">
            <w:pPr>
              <w:spacing w:after="0" w:line="240" w:lineRule="auto"/>
              <w:contextualSpacing/>
              <w:rPr>
                <w:rFonts w:ascii="Calibri" w:eastAsia="Times New Roman" w:hAnsi="Calibri" w:cs="Times New Roman"/>
                <w:color w:val="000000"/>
                <w:sz w:val="20"/>
                <w:szCs w:val="20"/>
              </w:rPr>
            </w:pPr>
            <w:r w:rsidRPr="000C4C35">
              <w:rPr>
                <w:rFonts w:ascii="Calibri" w:eastAsia="Times New Roman" w:hAnsi="Calibri" w:cs="Times New Roman"/>
                <w:color w:val="000000"/>
                <w:sz w:val="20"/>
                <w:szCs w:val="20"/>
              </w:rPr>
              <w:t>40.9</w:t>
            </w:r>
          </w:p>
        </w:tc>
      </w:tr>
      <w:tr w:rsidR="000C4C35" w:rsidRPr="000C4C35" w14:paraId="06D928F1" w14:textId="77777777" w:rsidTr="000C4C35">
        <w:trPr>
          <w:trHeight w:val="342"/>
          <w:jc w:val="center"/>
        </w:trPr>
        <w:tc>
          <w:tcPr>
            <w:tcW w:w="1500" w:type="dxa"/>
            <w:tcBorders>
              <w:top w:val="nil"/>
              <w:left w:val="single" w:sz="4" w:space="0" w:color="000000"/>
              <w:bottom w:val="single" w:sz="4" w:space="0" w:color="000000"/>
              <w:right w:val="single" w:sz="4" w:space="0" w:color="000000"/>
            </w:tcBorders>
            <w:shd w:val="clear" w:color="000000" w:fill="C5D9F1"/>
            <w:hideMark/>
          </w:tcPr>
          <w:p w14:paraId="75F2D048" w14:textId="77777777" w:rsidR="000C4C35" w:rsidRPr="000C4C35" w:rsidRDefault="000C4C35" w:rsidP="0046461A">
            <w:pPr>
              <w:spacing w:after="0" w:line="240" w:lineRule="auto"/>
              <w:contextualSpacing/>
              <w:rPr>
                <w:rFonts w:ascii="Calibri" w:eastAsia="Times New Roman" w:hAnsi="Calibri" w:cs="Times New Roman"/>
                <w:color w:val="000000"/>
                <w:sz w:val="20"/>
                <w:szCs w:val="20"/>
              </w:rPr>
            </w:pPr>
            <w:r w:rsidRPr="000C4C35">
              <w:rPr>
                <w:rFonts w:ascii="Calibri" w:eastAsia="Times New Roman" w:hAnsi="Calibri" w:cs="Times New Roman"/>
                <w:color w:val="000000"/>
                <w:sz w:val="20"/>
                <w:szCs w:val="20"/>
              </w:rPr>
              <w:t>Burton</w:t>
            </w:r>
          </w:p>
        </w:tc>
        <w:tc>
          <w:tcPr>
            <w:tcW w:w="1500" w:type="dxa"/>
            <w:tcBorders>
              <w:top w:val="nil"/>
              <w:left w:val="nil"/>
              <w:bottom w:val="single" w:sz="4" w:space="0" w:color="000000"/>
              <w:right w:val="single" w:sz="4" w:space="0" w:color="000000"/>
            </w:tcBorders>
            <w:shd w:val="clear" w:color="000000" w:fill="C5D9F1"/>
            <w:hideMark/>
          </w:tcPr>
          <w:p w14:paraId="7F2D41DA" w14:textId="77777777" w:rsidR="000C4C35" w:rsidRPr="000C4C35" w:rsidRDefault="000C4C35" w:rsidP="0046461A">
            <w:pPr>
              <w:spacing w:after="0" w:line="240" w:lineRule="auto"/>
              <w:contextualSpacing/>
              <w:rPr>
                <w:rFonts w:ascii="Calibri" w:eastAsia="Times New Roman" w:hAnsi="Calibri" w:cs="Times New Roman"/>
                <w:color w:val="000000"/>
                <w:sz w:val="20"/>
                <w:szCs w:val="20"/>
              </w:rPr>
            </w:pPr>
            <w:r w:rsidRPr="000C4C35">
              <w:rPr>
                <w:rFonts w:ascii="Calibri" w:eastAsia="Times New Roman" w:hAnsi="Calibri" w:cs="Times New Roman"/>
                <w:color w:val="000000"/>
                <w:sz w:val="20"/>
                <w:szCs w:val="20"/>
              </w:rPr>
              <w:t>Truman</w:t>
            </w:r>
          </w:p>
        </w:tc>
        <w:tc>
          <w:tcPr>
            <w:tcW w:w="1500" w:type="dxa"/>
            <w:tcBorders>
              <w:top w:val="nil"/>
              <w:left w:val="nil"/>
              <w:bottom w:val="single" w:sz="4" w:space="0" w:color="000000"/>
              <w:right w:val="single" w:sz="4" w:space="0" w:color="000000"/>
            </w:tcBorders>
            <w:shd w:val="clear" w:color="000000" w:fill="C5D9F1"/>
            <w:hideMark/>
          </w:tcPr>
          <w:p w14:paraId="06445763" w14:textId="77777777" w:rsidR="000C4C35" w:rsidRPr="000C4C35" w:rsidRDefault="000C4C35" w:rsidP="0046461A">
            <w:pPr>
              <w:spacing w:after="0" w:line="240" w:lineRule="auto"/>
              <w:contextualSpacing/>
              <w:rPr>
                <w:rFonts w:ascii="Calibri" w:eastAsia="Times New Roman" w:hAnsi="Calibri" w:cs="Times New Roman"/>
                <w:color w:val="000000"/>
                <w:sz w:val="20"/>
                <w:szCs w:val="20"/>
              </w:rPr>
            </w:pPr>
            <w:r w:rsidRPr="000C4C35">
              <w:rPr>
                <w:rFonts w:ascii="Calibri" w:eastAsia="Times New Roman" w:hAnsi="Calibri" w:cs="Times New Roman"/>
                <w:color w:val="000000"/>
                <w:sz w:val="20"/>
                <w:szCs w:val="20"/>
              </w:rPr>
              <w:t>41.9</w:t>
            </w:r>
          </w:p>
        </w:tc>
      </w:tr>
      <w:tr w:rsidR="000C4C35" w:rsidRPr="000C4C35" w14:paraId="01970018" w14:textId="77777777" w:rsidTr="000C4C35">
        <w:trPr>
          <w:trHeight w:val="255"/>
          <w:jc w:val="center"/>
        </w:trPr>
        <w:tc>
          <w:tcPr>
            <w:tcW w:w="1500" w:type="dxa"/>
            <w:tcBorders>
              <w:top w:val="nil"/>
              <w:left w:val="single" w:sz="4" w:space="0" w:color="000000"/>
              <w:bottom w:val="single" w:sz="4" w:space="0" w:color="000000"/>
              <w:right w:val="single" w:sz="4" w:space="0" w:color="000000"/>
            </w:tcBorders>
            <w:shd w:val="clear" w:color="000000" w:fill="C5D9F1"/>
            <w:hideMark/>
          </w:tcPr>
          <w:p w14:paraId="54044CF6" w14:textId="77777777" w:rsidR="000C4C35" w:rsidRPr="000C4C35" w:rsidRDefault="000C4C35" w:rsidP="0046461A">
            <w:pPr>
              <w:spacing w:after="0" w:line="240" w:lineRule="auto"/>
              <w:contextualSpacing/>
              <w:rPr>
                <w:rFonts w:ascii="Calibri" w:eastAsia="Times New Roman" w:hAnsi="Calibri" w:cs="Times New Roman"/>
                <w:color w:val="000000"/>
                <w:sz w:val="20"/>
                <w:szCs w:val="20"/>
              </w:rPr>
            </w:pPr>
            <w:r w:rsidRPr="000C4C35">
              <w:rPr>
                <w:rFonts w:ascii="Calibri" w:eastAsia="Times New Roman" w:hAnsi="Calibri" w:cs="Times New Roman"/>
                <w:color w:val="000000"/>
                <w:sz w:val="20"/>
                <w:szCs w:val="20"/>
              </w:rPr>
              <w:t>Fortas</w:t>
            </w:r>
          </w:p>
        </w:tc>
        <w:tc>
          <w:tcPr>
            <w:tcW w:w="1500" w:type="dxa"/>
            <w:tcBorders>
              <w:top w:val="nil"/>
              <w:left w:val="nil"/>
              <w:bottom w:val="single" w:sz="4" w:space="0" w:color="000000"/>
              <w:right w:val="single" w:sz="4" w:space="0" w:color="000000"/>
            </w:tcBorders>
            <w:shd w:val="clear" w:color="000000" w:fill="C5D9F1"/>
            <w:hideMark/>
          </w:tcPr>
          <w:p w14:paraId="44096809" w14:textId="77777777" w:rsidR="000C4C35" w:rsidRPr="000C4C35" w:rsidRDefault="000C4C35" w:rsidP="0046461A">
            <w:pPr>
              <w:spacing w:after="0" w:line="240" w:lineRule="auto"/>
              <w:contextualSpacing/>
              <w:rPr>
                <w:rFonts w:ascii="Calibri" w:eastAsia="Times New Roman" w:hAnsi="Calibri" w:cs="Times New Roman"/>
                <w:color w:val="000000"/>
                <w:sz w:val="20"/>
                <w:szCs w:val="20"/>
              </w:rPr>
            </w:pPr>
            <w:r w:rsidRPr="000C4C35">
              <w:rPr>
                <w:rFonts w:ascii="Calibri" w:eastAsia="Times New Roman" w:hAnsi="Calibri" w:cs="Times New Roman"/>
                <w:color w:val="000000"/>
                <w:sz w:val="20"/>
                <w:szCs w:val="20"/>
              </w:rPr>
              <w:t>Johnson</w:t>
            </w:r>
          </w:p>
        </w:tc>
        <w:tc>
          <w:tcPr>
            <w:tcW w:w="1500" w:type="dxa"/>
            <w:tcBorders>
              <w:top w:val="nil"/>
              <w:left w:val="nil"/>
              <w:bottom w:val="single" w:sz="4" w:space="0" w:color="000000"/>
              <w:right w:val="single" w:sz="4" w:space="0" w:color="000000"/>
            </w:tcBorders>
            <w:shd w:val="clear" w:color="000000" w:fill="C5D9F1"/>
            <w:hideMark/>
          </w:tcPr>
          <w:p w14:paraId="37E905F9" w14:textId="77777777" w:rsidR="000C4C35" w:rsidRPr="000C4C35" w:rsidRDefault="000C4C35" w:rsidP="0046461A">
            <w:pPr>
              <w:spacing w:after="0" w:line="240" w:lineRule="auto"/>
              <w:contextualSpacing/>
              <w:rPr>
                <w:rFonts w:ascii="Calibri" w:eastAsia="Times New Roman" w:hAnsi="Calibri" w:cs="Times New Roman"/>
                <w:color w:val="000000"/>
                <w:sz w:val="20"/>
                <w:szCs w:val="20"/>
              </w:rPr>
            </w:pPr>
            <w:r w:rsidRPr="000C4C35">
              <w:rPr>
                <w:rFonts w:ascii="Calibri" w:eastAsia="Times New Roman" w:hAnsi="Calibri" w:cs="Times New Roman"/>
                <w:color w:val="000000"/>
                <w:sz w:val="20"/>
                <w:szCs w:val="20"/>
              </w:rPr>
              <w:t>45.7</w:t>
            </w:r>
          </w:p>
        </w:tc>
      </w:tr>
    </w:tbl>
    <w:p w14:paraId="7739F205" w14:textId="73B392A1" w:rsidR="00797AA8" w:rsidRDefault="00797AA8" w:rsidP="0046461A">
      <w:pPr>
        <w:contextualSpacing/>
      </w:pPr>
    </w:p>
    <w:p w14:paraId="0D82AD64" w14:textId="77777777" w:rsidR="006119B6" w:rsidRDefault="006119B6" w:rsidP="0046461A">
      <w:pPr>
        <w:contextualSpacing/>
      </w:pPr>
      <w:r>
        <w:t>*Justices listed in bold match the ones found in Figure 9-4.</w:t>
      </w:r>
    </w:p>
    <w:p w14:paraId="4B0D169C" w14:textId="50AA289D" w:rsidR="00797AA8" w:rsidRDefault="006119B6" w:rsidP="0046461A">
      <w:pPr>
        <w:contextualSpacing/>
      </w:pPr>
      <w:r>
        <w:t xml:space="preserve">Source:  </w:t>
      </w:r>
      <w:r w:rsidRPr="006119B6">
        <w:t xml:space="preserve">Lee Epstein, Christopher M. Parker, and Jeffrey A. Segal, “Do Justices Defend the Speech They Hate?” </w:t>
      </w:r>
      <w:proofErr w:type="gramStart"/>
      <w:r w:rsidRPr="006119B6">
        <w:t xml:space="preserve">May 2, 2014, </w:t>
      </w:r>
      <w:hyperlink r:id="rId12" w:history="1">
        <w:r w:rsidRPr="006337E3">
          <w:rPr>
            <w:rStyle w:val="Hyperlink"/>
          </w:rPr>
          <w:t>http://epstein.wustl.edu/research/InGroupBiasSummary.pdf</w:t>
        </w:r>
      </w:hyperlink>
      <w:r>
        <w:t xml:space="preserve"> and </w:t>
      </w:r>
      <w:hyperlink r:id="rId13" w:history="1">
        <w:r w:rsidRPr="006337E3">
          <w:rPr>
            <w:rStyle w:val="Hyperlink"/>
          </w:rPr>
          <w:t>http://www.supremecourt.gov/about/members_text.aspx</w:t>
        </w:r>
      </w:hyperlink>
      <w:r>
        <w:t xml:space="preserve"> for presidential appointments.</w:t>
      </w:r>
      <w:proofErr w:type="gramEnd"/>
    </w:p>
    <w:p w14:paraId="2AE4F5B1" w14:textId="77777777" w:rsidR="005C3741" w:rsidRDefault="005C3741" w:rsidP="0046461A">
      <w:pPr>
        <w:contextualSpacing/>
      </w:pPr>
    </w:p>
    <w:p w14:paraId="2CB24066" w14:textId="0F43A3EC" w:rsidR="005C3741" w:rsidRPr="005C3741" w:rsidRDefault="005C3741" w:rsidP="0046461A">
      <w:pPr>
        <w:contextualSpacing/>
        <w:rPr>
          <w:b/>
        </w:rPr>
      </w:pPr>
      <w:r w:rsidRPr="005C3741">
        <w:rPr>
          <w:b/>
        </w:rPr>
        <w:t>Questions to Consider:</w:t>
      </w:r>
    </w:p>
    <w:p w14:paraId="4D5D4C44" w14:textId="77777777" w:rsidR="005C3741" w:rsidRDefault="005C3741" w:rsidP="0046461A">
      <w:pPr>
        <w:contextualSpacing/>
      </w:pPr>
    </w:p>
    <w:p w14:paraId="0573C144" w14:textId="77777777" w:rsidR="005C3741" w:rsidRDefault="005C3741" w:rsidP="0046461A">
      <w:pPr>
        <w:contextualSpacing/>
      </w:pPr>
      <w:r>
        <w:t xml:space="preserve">1. </w:t>
      </w:r>
      <w:r w:rsidR="00797AA8">
        <w:t>According to Figure 9-4, the last ten justices who served before 2009 were more likely to lean liberal in their votes in support of free speech than conservative.</w:t>
      </w:r>
    </w:p>
    <w:p w14:paraId="171FF66B" w14:textId="77777777" w:rsidR="005C3741" w:rsidRDefault="005C3741" w:rsidP="0046461A">
      <w:pPr>
        <w:contextualSpacing/>
      </w:pPr>
      <w:r>
        <w:lastRenderedPageBreak/>
        <w:t>a. True</w:t>
      </w:r>
    </w:p>
    <w:p w14:paraId="02BB5EEC" w14:textId="77777777" w:rsidR="005C3741" w:rsidRDefault="005C3741" w:rsidP="0046461A">
      <w:pPr>
        <w:contextualSpacing/>
      </w:pPr>
      <w:r>
        <w:t>*b. False</w:t>
      </w:r>
    </w:p>
    <w:p w14:paraId="39FB5FA3" w14:textId="77777777" w:rsidR="005C3741" w:rsidRDefault="005C3741" w:rsidP="0046461A">
      <w:pPr>
        <w:contextualSpacing/>
      </w:pPr>
    </w:p>
    <w:p w14:paraId="1C72CCBE" w14:textId="7B90BF56" w:rsidR="00797AA8" w:rsidRDefault="005C3741" w:rsidP="0046461A">
      <w:pPr>
        <w:contextualSpacing/>
      </w:pPr>
      <w:r>
        <w:t xml:space="preserve">@ Feedback: </w:t>
      </w:r>
      <w:r w:rsidR="00797AA8">
        <w:t xml:space="preserve">Six of the ten supported conservative free expression claims </w:t>
      </w:r>
      <w:r w:rsidR="006119B6">
        <w:t>proportionately more often than liberal claims.  All six were appointed by Republican presidents, as were two of the liberal leaning ones.</w:t>
      </w:r>
    </w:p>
    <w:p w14:paraId="29D7885F" w14:textId="77777777" w:rsidR="006119B6" w:rsidRDefault="006119B6" w:rsidP="0046461A">
      <w:pPr>
        <w:contextualSpacing/>
      </w:pPr>
    </w:p>
    <w:p w14:paraId="40A0EDA8" w14:textId="4BBDF519" w:rsidR="006119B6" w:rsidRDefault="005C3741" w:rsidP="0046461A">
      <w:pPr>
        <w:contextualSpacing/>
      </w:pPr>
      <w:r>
        <w:t xml:space="preserve">2. </w:t>
      </w:r>
      <w:r w:rsidR="006119B6">
        <w:t>Of the ten justices listed in Figure 9-</w:t>
      </w:r>
      <w:r w:rsidR="00EB1456">
        <w:t>4</w:t>
      </w:r>
      <w:r w:rsidR="006119B6">
        <w:t>, the liberal leaning ones exhibited greater differentiation in support of liberal versus conservative claims</w:t>
      </w:r>
      <w:r w:rsidR="00EB1456">
        <w:t xml:space="preserve"> than did the conservative leaning justices.</w:t>
      </w:r>
    </w:p>
    <w:p w14:paraId="769C46B8" w14:textId="42E1FEED" w:rsidR="006119B6" w:rsidRDefault="005C3741" w:rsidP="0046461A">
      <w:pPr>
        <w:contextualSpacing/>
      </w:pPr>
      <w:r>
        <w:t>a. True</w:t>
      </w:r>
    </w:p>
    <w:p w14:paraId="7FA2D310" w14:textId="3FDCC397" w:rsidR="006119B6" w:rsidRDefault="005C3741" w:rsidP="0046461A">
      <w:pPr>
        <w:contextualSpacing/>
      </w:pPr>
      <w:r>
        <w:t>*b. False</w:t>
      </w:r>
    </w:p>
    <w:p w14:paraId="13483D18" w14:textId="77777777" w:rsidR="005C3741" w:rsidRPr="00895FED" w:rsidRDefault="005C3741" w:rsidP="0046461A">
      <w:pPr>
        <w:contextualSpacing/>
      </w:pPr>
    </w:p>
    <w:p w14:paraId="04B3BAEC" w14:textId="555C6EE6" w:rsidR="00EB1456" w:rsidRDefault="005C3741" w:rsidP="0046461A">
      <w:pPr>
        <w:contextualSpacing/>
      </w:pPr>
      <w:r>
        <w:t xml:space="preserve">@ Feedback: </w:t>
      </w:r>
      <w:r w:rsidR="00EB1456">
        <w:t>The differentiation, measured by the difference between conservative (orange) and liberal (blue) decisions is obviously greater on the conservative side of the spectrum.</w:t>
      </w:r>
    </w:p>
    <w:p w14:paraId="74711822" w14:textId="77777777" w:rsidR="00373DF4" w:rsidRDefault="00373DF4" w:rsidP="0046461A">
      <w:pPr>
        <w:contextualSpacing/>
      </w:pPr>
    </w:p>
    <w:p w14:paraId="655E8476" w14:textId="56175BB3" w:rsidR="00373DF4" w:rsidRDefault="005C3741" w:rsidP="0046461A">
      <w:pPr>
        <w:contextualSpacing/>
      </w:pPr>
      <w:r>
        <w:t xml:space="preserve">3. </w:t>
      </w:r>
      <w:r w:rsidR="00373DF4">
        <w:t>Looking at Figure 9-5, which of the following is not true.</w:t>
      </w:r>
    </w:p>
    <w:p w14:paraId="760C7D3A" w14:textId="25B18FEB" w:rsidR="00373DF4" w:rsidRDefault="005C3741" w:rsidP="0046461A">
      <w:pPr>
        <w:contextualSpacing/>
      </w:pPr>
      <w:r>
        <w:t xml:space="preserve">a. </w:t>
      </w:r>
      <w:r w:rsidR="00373DF4">
        <w:t>Justices appointed by President Ford were more liberal over</w:t>
      </w:r>
      <w:r>
        <w:t xml:space="preserve">all than justices appointed by </w:t>
      </w:r>
      <w:r w:rsidR="00373DF4">
        <w:t xml:space="preserve">other </w:t>
      </w:r>
      <w:r>
        <w:t>R</w:t>
      </w:r>
      <w:r w:rsidR="00373DF4">
        <w:t>epublican presidents.</w:t>
      </w:r>
    </w:p>
    <w:p w14:paraId="509A9780" w14:textId="799270E3" w:rsidR="00373DF4" w:rsidRPr="00895FED" w:rsidRDefault="005C3741" w:rsidP="0046461A">
      <w:pPr>
        <w:contextualSpacing/>
      </w:pPr>
      <w:proofErr w:type="gramStart"/>
      <w:r>
        <w:t>*b.</w:t>
      </w:r>
      <w:proofErr w:type="gramEnd"/>
      <w:r>
        <w:t xml:space="preserve">  </w:t>
      </w:r>
      <w:r w:rsidR="00373DF4" w:rsidRPr="00895FED">
        <w:t>Justices appointed by President Ford were more cons</w:t>
      </w:r>
      <w:r>
        <w:t xml:space="preserve">ervative overall than justices </w:t>
      </w:r>
      <w:r w:rsidR="00373DF4" w:rsidRPr="00895FED">
        <w:t>appointed by all Democratic presidents.</w:t>
      </w:r>
    </w:p>
    <w:p w14:paraId="293D9D5E" w14:textId="163CA55A" w:rsidR="00373DF4" w:rsidRDefault="005C3741" w:rsidP="0046461A">
      <w:pPr>
        <w:contextualSpacing/>
      </w:pPr>
      <w:r>
        <w:t xml:space="preserve">c. </w:t>
      </w:r>
      <w:r w:rsidR="00373DF4">
        <w:t>Justices appointed by President Johnson were the most liberal in their decision-making</w:t>
      </w:r>
    </w:p>
    <w:p w14:paraId="3E951F62" w14:textId="159F7FC1" w:rsidR="00373DF4" w:rsidRDefault="005C3741" w:rsidP="0046461A">
      <w:pPr>
        <w:contextualSpacing/>
      </w:pPr>
      <w:r>
        <w:t xml:space="preserve">d. </w:t>
      </w:r>
      <w:r w:rsidR="00373DF4">
        <w:t>Only justices appointed by Presidents Johnson and Carter decid</w:t>
      </w:r>
      <w:r>
        <w:t xml:space="preserve">ed in a liberal direction more </w:t>
      </w:r>
      <w:r w:rsidR="00373DF4">
        <w:t>than 50% of the time.</w:t>
      </w:r>
    </w:p>
    <w:p w14:paraId="2262D045" w14:textId="77777777" w:rsidR="00373DF4" w:rsidRDefault="00373DF4" w:rsidP="0046461A">
      <w:pPr>
        <w:contextualSpacing/>
      </w:pPr>
    </w:p>
    <w:p w14:paraId="3683BE35" w14:textId="5A98D5D6" w:rsidR="00373DF4" w:rsidRPr="00EB1456" w:rsidRDefault="00373DF4" w:rsidP="0046461A">
      <w:pPr>
        <w:contextualSpacing/>
      </w:pPr>
      <w:bookmarkStart w:id="0" w:name="_GoBack"/>
      <w:bookmarkEnd w:id="0"/>
    </w:p>
    <w:p w14:paraId="31DCC5EC" w14:textId="77777777" w:rsidR="006119B6" w:rsidRDefault="006119B6" w:rsidP="0046461A">
      <w:pPr>
        <w:contextualSpacing/>
      </w:pPr>
    </w:p>
    <w:p w14:paraId="196866BA" w14:textId="77777777" w:rsidR="006119B6" w:rsidRPr="00797AA8" w:rsidRDefault="006119B6" w:rsidP="0046461A">
      <w:pPr>
        <w:contextualSpacing/>
        <w:rPr>
          <w:b/>
        </w:rPr>
      </w:pPr>
    </w:p>
    <w:sectPr w:rsidR="006119B6" w:rsidRPr="00797AA8">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Lucida Grande">
    <w:altName w:val="Arial"/>
    <w:charset w:val="00"/>
    <w:family w:val="auto"/>
    <w:pitch w:val="variable"/>
    <w:sig w:usb0="00000000" w:usb1="5000A1FF" w:usb2="00000000" w:usb3="00000000" w:csb0="000001BF" w:csb1="00000000"/>
  </w:font>
  <w:font w:name="MS Gothic">
    <w:altName w:val="ＭＳ ゴシック"/>
    <w:panose1 w:val="020B0609070205080204"/>
    <w:charset w:val="80"/>
    <w:family w:val="modern"/>
    <w:pitch w:val="fixed"/>
    <w:sig w:usb0="E00002FF" w:usb1="6AC7FDFB" w:usb2="00000012" w:usb3="00000000" w:csb0="0002009F" w:csb1="00000000"/>
  </w:font>
  <w:font w:name="Calibri Light">
    <w:panose1 w:val="020F0302020204030204"/>
    <w:charset w:val="00"/>
    <w:family w:val="swiss"/>
    <w:pitch w:val="variable"/>
    <w:sig w:usb0="A00002EF" w:usb1="4000207B"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47EA7"/>
    <w:rsid w:val="000C4C35"/>
    <w:rsid w:val="000E7489"/>
    <w:rsid w:val="00106360"/>
    <w:rsid w:val="00147123"/>
    <w:rsid w:val="001F1DAE"/>
    <w:rsid w:val="00373DF4"/>
    <w:rsid w:val="00401095"/>
    <w:rsid w:val="0046461A"/>
    <w:rsid w:val="004741E9"/>
    <w:rsid w:val="004D012C"/>
    <w:rsid w:val="005C3741"/>
    <w:rsid w:val="005D02E4"/>
    <w:rsid w:val="006119B6"/>
    <w:rsid w:val="00715D25"/>
    <w:rsid w:val="00797AA8"/>
    <w:rsid w:val="00855A08"/>
    <w:rsid w:val="00895FED"/>
    <w:rsid w:val="009D2A60"/>
    <w:rsid w:val="00A0514D"/>
    <w:rsid w:val="00C4125D"/>
    <w:rsid w:val="00C47EA7"/>
    <w:rsid w:val="00CB0AD1"/>
    <w:rsid w:val="00CB63D7"/>
    <w:rsid w:val="00D94388"/>
    <w:rsid w:val="00DF02D7"/>
    <w:rsid w:val="00E12B72"/>
    <w:rsid w:val="00EB1456"/>
    <w:rsid w:val="00EF712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0D81E4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6119B6"/>
    <w:rPr>
      <w:color w:val="0563C1" w:themeColor="hyperlink"/>
      <w:u w:val="single"/>
    </w:rPr>
  </w:style>
  <w:style w:type="paragraph" w:styleId="BalloonText">
    <w:name w:val="Balloon Text"/>
    <w:basedOn w:val="Normal"/>
    <w:link w:val="BalloonTextChar"/>
    <w:uiPriority w:val="99"/>
    <w:semiHidden/>
    <w:unhideWhenUsed/>
    <w:rsid w:val="00895FED"/>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895FED"/>
    <w:rPr>
      <w:rFonts w:ascii="Lucida Grande" w:hAnsi="Lucida Grande" w:cs="Lucida Grande"/>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6119B6"/>
    <w:rPr>
      <w:color w:val="0563C1" w:themeColor="hyperlink"/>
      <w:u w:val="single"/>
    </w:rPr>
  </w:style>
  <w:style w:type="paragraph" w:styleId="BalloonText">
    <w:name w:val="Balloon Text"/>
    <w:basedOn w:val="Normal"/>
    <w:link w:val="BalloonTextChar"/>
    <w:uiPriority w:val="99"/>
    <w:semiHidden/>
    <w:unhideWhenUsed/>
    <w:rsid w:val="00895FED"/>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895FED"/>
    <w:rPr>
      <w:rFonts w:ascii="Lucida Grande" w:hAnsi="Lucida Grande" w:cs="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414440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www.supremecourt.gov/about/members_text.aspx" TargetMode="External"/><Relationship Id="rId3" Type="http://schemas.openxmlformats.org/officeDocument/2006/relationships/settings" Target="settings.xml"/><Relationship Id="rId7" Type="http://schemas.openxmlformats.org/officeDocument/2006/relationships/chart" Target="charts/chart2.xml"/><Relationship Id="rId12" Type="http://schemas.openxmlformats.org/officeDocument/2006/relationships/hyperlink" Target="http://epstein.wustl.edu/research/InGroupBiasSummary.pdf" TargetMode="Externa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chart" Target="charts/chart1.xml"/><Relationship Id="rId11" Type="http://schemas.openxmlformats.org/officeDocument/2006/relationships/image" Target="media/image4.png"/><Relationship Id="rId5" Type="http://schemas.openxmlformats.org/officeDocument/2006/relationships/image" Target="media/image1.jpg"/><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chart" Target="charts/chart3.xml"/><Relationship Id="rId14" Type="http://schemas.openxmlformats.org/officeDocument/2006/relationships/fontTable" Target="fontTable.xml"/></Relationships>
</file>

<file path=word/charts/_rels/chart1.xml.rels><?xml version="1.0" encoding="UTF-8" standalone="yes"?>
<Relationships xmlns="http://schemas.openxmlformats.org/package/2006/relationships"><Relationship Id="rId3" Type="http://schemas.microsoft.com/office/2011/relationships/chartColorStyle" Target="colors1.xml"/><Relationship Id="rId2" Type="http://schemas.microsoft.com/office/2011/relationships/chartStyle" Target="style1.xml"/><Relationship Id="rId1" Type="http://schemas.openxmlformats.org/officeDocument/2006/relationships/package" Target="../embeddings/Microsoft_Excel_Worksheet1.xlsx"/></Relationships>
</file>

<file path=word/charts/_rels/chart2.xml.rels><?xml version="1.0" encoding="UTF-8" standalone="yes"?>
<Relationships xmlns="http://schemas.openxmlformats.org/package/2006/relationships"><Relationship Id="rId3" Type="http://schemas.microsoft.com/office/2011/relationships/chartStyle" Target="style2.xml"/><Relationship Id="rId2" Type="http://schemas.openxmlformats.org/officeDocument/2006/relationships/chartUserShapes" Target="../drawings/drawing1.xml"/><Relationship Id="rId1" Type="http://schemas.openxmlformats.org/officeDocument/2006/relationships/package" Target="../embeddings/Microsoft_Excel_Worksheet2.xlsx"/><Relationship Id="rId4" Type="http://schemas.microsoft.com/office/2011/relationships/chartColorStyle" Target="colors2.xml"/></Relationships>
</file>

<file path=word/charts/_rels/chart3.xml.rels><?xml version="1.0" encoding="UTF-8" standalone="yes"?>
<Relationships xmlns="http://schemas.openxmlformats.org/package/2006/relationships"><Relationship Id="rId3" Type="http://schemas.microsoft.com/office/2011/relationships/chartColorStyle" Target="colors3.xml"/><Relationship Id="rId2" Type="http://schemas.microsoft.com/office/2011/relationships/chartStyle" Target="style3.xml"/><Relationship Id="rId1" Type="http://schemas.openxmlformats.org/officeDocument/2006/relationships/oleObject" Target="https://d.docs.live.net/0a3ea97a87dc94c4/CQ/9-3%20supplement.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State</a:t>
            </a:r>
            <a:r>
              <a:rPr lang="en-US" baseline="0"/>
              <a:t> and Federal Statutes Ruled Unconstitutional</a:t>
            </a:r>
          </a:p>
        </c:rich>
      </c:tx>
      <c:layout/>
      <c:overlay val="0"/>
      <c:spPr>
        <a:noFill/>
        <a:ln>
          <a:noFill/>
        </a:ln>
        <a:effectLst/>
      </c:spPr>
    </c:title>
    <c:autoTitleDeleted val="0"/>
    <c:plotArea>
      <c:layout>
        <c:manualLayout>
          <c:layoutTarget val="inner"/>
          <c:xMode val="edge"/>
          <c:yMode val="edge"/>
          <c:x val="9.7841014358499304E-2"/>
          <c:y val="0.222862632084534"/>
          <c:w val="0.87519820132777504"/>
          <c:h val="0.58907259071002305"/>
        </c:manualLayout>
      </c:layout>
      <c:areaChart>
        <c:grouping val="stacked"/>
        <c:varyColors val="0"/>
        <c:ser>
          <c:idx val="2"/>
          <c:order val="1"/>
          <c:tx>
            <c:v>Federal</c:v>
          </c:tx>
          <c:spPr>
            <a:solidFill>
              <a:schemeClr val="accent5"/>
            </a:solidFill>
            <a:ln>
              <a:solidFill>
                <a:schemeClr val="accent5"/>
              </a:solidFill>
            </a:ln>
            <a:effectLst/>
          </c:spPr>
          <c:cat>
            <c:strRef>
              <c:f>Sheet1!$F$9:$F$24</c:f>
              <c:strCache>
                <c:ptCount val="16"/>
                <c:pt idx="0">
                  <c:v>1860–1869</c:v>
                </c:pt>
                <c:pt idx="1">
                  <c:v>1870–1879</c:v>
                </c:pt>
                <c:pt idx="2">
                  <c:v>1880–1889</c:v>
                </c:pt>
                <c:pt idx="3">
                  <c:v>1890–1899</c:v>
                </c:pt>
                <c:pt idx="4">
                  <c:v>1900–1909</c:v>
                </c:pt>
                <c:pt idx="5">
                  <c:v>1910–1919</c:v>
                </c:pt>
                <c:pt idx="6">
                  <c:v>1920–1929</c:v>
                </c:pt>
                <c:pt idx="7">
                  <c:v>1930–1939</c:v>
                </c:pt>
                <c:pt idx="8">
                  <c:v>1940–1949</c:v>
                </c:pt>
                <c:pt idx="9">
                  <c:v>1950–1959</c:v>
                </c:pt>
                <c:pt idx="10">
                  <c:v>1960–1969</c:v>
                </c:pt>
                <c:pt idx="11">
                  <c:v>1970–1979</c:v>
                </c:pt>
                <c:pt idx="12">
                  <c:v>1980–1989</c:v>
                </c:pt>
                <c:pt idx="13">
                  <c:v>1990–1999</c:v>
                </c:pt>
                <c:pt idx="14">
                  <c:v>2000–2009</c:v>
                </c:pt>
                <c:pt idx="15">
                  <c:v>2010–2014</c:v>
                </c:pt>
              </c:strCache>
            </c:strRef>
          </c:cat>
          <c:val>
            <c:numRef>
              <c:f>Sheet1!$G$9:$G$24</c:f>
              <c:numCache>
                <c:formatCode>General</c:formatCode>
                <c:ptCount val="16"/>
                <c:pt idx="0">
                  <c:v>4</c:v>
                </c:pt>
                <c:pt idx="1">
                  <c:v>7</c:v>
                </c:pt>
                <c:pt idx="2">
                  <c:v>4</c:v>
                </c:pt>
                <c:pt idx="3">
                  <c:v>5</c:v>
                </c:pt>
                <c:pt idx="4">
                  <c:v>9</c:v>
                </c:pt>
                <c:pt idx="5">
                  <c:v>6</c:v>
                </c:pt>
                <c:pt idx="6">
                  <c:v>15</c:v>
                </c:pt>
                <c:pt idx="7">
                  <c:v>13</c:v>
                </c:pt>
                <c:pt idx="8">
                  <c:v>2</c:v>
                </c:pt>
                <c:pt idx="9">
                  <c:v>4</c:v>
                </c:pt>
                <c:pt idx="10">
                  <c:v>18</c:v>
                </c:pt>
                <c:pt idx="11">
                  <c:v>19</c:v>
                </c:pt>
                <c:pt idx="12">
                  <c:v>16</c:v>
                </c:pt>
                <c:pt idx="13">
                  <c:v>24</c:v>
                </c:pt>
                <c:pt idx="14">
                  <c:v>16</c:v>
                </c:pt>
                <c:pt idx="15">
                  <c:v>13</c:v>
                </c:pt>
              </c:numCache>
            </c:numRef>
          </c:val>
        </c:ser>
        <c:dLbls>
          <c:showLegendKey val="0"/>
          <c:showVal val="0"/>
          <c:showCatName val="0"/>
          <c:showSerName val="0"/>
          <c:showPercent val="0"/>
          <c:showBubbleSize val="0"/>
        </c:dLbls>
        <c:axId val="83658240"/>
        <c:axId val="83659776"/>
      </c:areaChart>
      <c:barChart>
        <c:barDir val="col"/>
        <c:grouping val="clustered"/>
        <c:varyColors val="0"/>
        <c:ser>
          <c:idx val="1"/>
          <c:order val="0"/>
          <c:tx>
            <c:v>'State'</c:v>
          </c:tx>
          <c:spPr>
            <a:solidFill>
              <a:schemeClr val="accent2"/>
            </a:solidFill>
            <a:ln>
              <a:noFill/>
            </a:ln>
            <a:effectLst/>
          </c:spPr>
          <c:invertIfNegative val="0"/>
          <c:cat>
            <c:strRef>
              <c:f>Sheet1!$F$9:$F$24</c:f>
              <c:strCache>
                <c:ptCount val="16"/>
                <c:pt idx="0">
                  <c:v>1860–1869</c:v>
                </c:pt>
                <c:pt idx="1">
                  <c:v>1870–1879</c:v>
                </c:pt>
                <c:pt idx="2">
                  <c:v>1880–1889</c:v>
                </c:pt>
                <c:pt idx="3">
                  <c:v>1890–1899</c:v>
                </c:pt>
                <c:pt idx="4">
                  <c:v>1900–1909</c:v>
                </c:pt>
                <c:pt idx="5">
                  <c:v>1910–1919</c:v>
                </c:pt>
                <c:pt idx="6">
                  <c:v>1920–1929</c:v>
                </c:pt>
                <c:pt idx="7">
                  <c:v>1930–1939</c:v>
                </c:pt>
                <c:pt idx="8">
                  <c:v>1940–1949</c:v>
                </c:pt>
                <c:pt idx="9">
                  <c:v>1950–1959</c:v>
                </c:pt>
                <c:pt idx="10">
                  <c:v>1960–1969</c:v>
                </c:pt>
                <c:pt idx="11">
                  <c:v>1970–1979</c:v>
                </c:pt>
                <c:pt idx="12">
                  <c:v>1980–1989</c:v>
                </c:pt>
                <c:pt idx="13">
                  <c:v>1990–1999</c:v>
                </c:pt>
                <c:pt idx="14">
                  <c:v>2000–2009</c:v>
                </c:pt>
                <c:pt idx="15">
                  <c:v>2010–2014</c:v>
                </c:pt>
              </c:strCache>
            </c:strRef>
          </c:cat>
          <c:val>
            <c:numRef>
              <c:f>Sheet1!$H$9:$H$24</c:f>
              <c:numCache>
                <c:formatCode>General</c:formatCode>
                <c:ptCount val="16"/>
                <c:pt idx="0">
                  <c:v>24</c:v>
                </c:pt>
                <c:pt idx="1">
                  <c:v>36</c:v>
                </c:pt>
                <c:pt idx="2">
                  <c:v>46</c:v>
                </c:pt>
                <c:pt idx="3">
                  <c:v>36</c:v>
                </c:pt>
                <c:pt idx="4">
                  <c:v>40</c:v>
                </c:pt>
                <c:pt idx="5">
                  <c:v>119</c:v>
                </c:pt>
                <c:pt idx="6">
                  <c:v>139</c:v>
                </c:pt>
                <c:pt idx="7">
                  <c:v>92</c:v>
                </c:pt>
                <c:pt idx="8">
                  <c:v>61</c:v>
                </c:pt>
                <c:pt idx="9">
                  <c:v>66</c:v>
                </c:pt>
                <c:pt idx="10">
                  <c:v>151</c:v>
                </c:pt>
                <c:pt idx="11">
                  <c:v>195</c:v>
                </c:pt>
                <c:pt idx="12">
                  <c:v>164</c:v>
                </c:pt>
                <c:pt idx="13">
                  <c:v>62</c:v>
                </c:pt>
                <c:pt idx="14">
                  <c:v>38</c:v>
                </c:pt>
                <c:pt idx="15">
                  <c:v>16</c:v>
                </c:pt>
              </c:numCache>
            </c:numRef>
          </c:val>
        </c:ser>
        <c:dLbls>
          <c:showLegendKey val="0"/>
          <c:showVal val="0"/>
          <c:showCatName val="0"/>
          <c:showSerName val="0"/>
          <c:showPercent val="0"/>
          <c:showBubbleSize val="0"/>
        </c:dLbls>
        <c:gapWidth val="150"/>
        <c:axId val="83658240"/>
        <c:axId val="83659776"/>
      </c:barChart>
      <c:catAx>
        <c:axId val="83658240"/>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3659776"/>
        <c:crosses val="autoZero"/>
        <c:auto val="1"/>
        <c:lblAlgn val="ctr"/>
        <c:lblOffset val="100"/>
        <c:noMultiLvlLbl val="0"/>
      </c:catAx>
      <c:valAx>
        <c:axId val="83659776"/>
        <c:scaling>
          <c:orientation val="minMax"/>
          <c:max val="225"/>
          <c:min val="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3658240"/>
        <c:crosses val="autoZero"/>
        <c:crossBetween val="between"/>
      </c:valAx>
      <c:spPr>
        <a:noFill/>
        <a:ln>
          <a:noFill/>
        </a:ln>
        <a:effectLst/>
      </c:spPr>
    </c:plotArea>
    <c:legend>
      <c:legendPos val="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Federal Laws Ruled Unconstitutional as a Percentage</a:t>
            </a:r>
            <a:r>
              <a:rPr lang="en-US" baseline="0"/>
              <a:t> of All Laws Thus Ruled</a:t>
            </a:r>
            <a:endParaRPr lang="en-US"/>
          </a:p>
        </c:rich>
      </c:tx>
      <c:layout>
        <c:manualLayout>
          <c:xMode val="edge"/>
          <c:yMode val="edge"/>
          <c:x val="0.16361111111111101"/>
          <c:y val="2.7777777777777801E-2"/>
        </c:manualLayout>
      </c:layout>
      <c:overlay val="0"/>
      <c:spPr>
        <a:noFill/>
        <a:ln>
          <a:noFill/>
        </a:ln>
        <a:effectLst/>
      </c:sp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spPr>
            <a:solidFill>
              <a:schemeClr val="accent1"/>
            </a:solidFill>
            <a:ln>
              <a:noFill/>
            </a:ln>
            <a:effectLst/>
            <a:sp3d/>
          </c:spPr>
          <c:invertIfNegative val="0"/>
          <c:cat>
            <c:strRef>
              <c:f>Sheet1!$F$9:$F$24</c:f>
              <c:strCache>
                <c:ptCount val="16"/>
                <c:pt idx="0">
                  <c:v>1860–1869</c:v>
                </c:pt>
                <c:pt idx="1">
                  <c:v>1870–1879</c:v>
                </c:pt>
                <c:pt idx="2">
                  <c:v>1880–1889</c:v>
                </c:pt>
                <c:pt idx="3">
                  <c:v>1890–1899</c:v>
                </c:pt>
                <c:pt idx="4">
                  <c:v>1900–1909</c:v>
                </c:pt>
                <c:pt idx="5">
                  <c:v>1910–1919</c:v>
                </c:pt>
                <c:pt idx="6">
                  <c:v>1920–1929</c:v>
                </c:pt>
                <c:pt idx="7">
                  <c:v>1930–1939</c:v>
                </c:pt>
                <c:pt idx="8">
                  <c:v>1940–1949</c:v>
                </c:pt>
                <c:pt idx="9">
                  <c:v>1950–1959</c:v>
                </c:pt>
                <c:pt idx="10">
                  <c:v>1960–1969</c:v>
                </c:pt>
                <c:pt idx="11">
                  <c:v>1970–1979</c:v>
                </c:pt>
                <c:pt idx="12">
                  <c:v>1980–1989</c:v>
                </c:pt>
                <c:pt idx="13">
                  <c:v>1990–1999</c:v>
                </c:pt>
                <c:pt idx="14">
                  <c:v>2000–2009</c:v>
                </c:pt>
                <c:pt idx="15">
                  <c:v>2010–2014</c:v>
                </c:pt>
              </c:strCache>
            </c:strRef>
          </c:cat>
          <c:val>
            <c:numRef>
              <c:f>Sheet1!$P$9:$P$24</c:f>
              <c:numCache>
                <c:formatCode>0.0%</c:formatCode>
                <c:ptCount val="16"/>
                <c:pt idx="0">
                  <c:v>0.193050193050193</c:v>
                </c:pt>
                <c:pt idx="1">
                  <c:v>0.214198286413709</c:v>
                </c:pt>
                <c:pt idx="2">
                  <c:v>9.5238095238095205E-2</c:v>
                </c:pt>
                <c:pt idx="3">
                  <c:v>0.13550135501355001</c:v>
                </c:pt>
                <c:pt idx="4">
                  <c:v>0.199645075421473</c:v>
                </c:pt>
                <c:pt idx="5">
                  <c:v>0.05</c:v>
                </c:pt>
                <c:pt idx="6">
                  <c:v>0.101461038961039</c:v>
                </c:pt>
                <c:pt idx="7">
                  <c:v>0.12896825396825401</c:v>
                </c:pt>
                <c:pt idx="8">
                  <c:v>3.3068783068783102E-2</c:v>
                </c:pt>
                <c:pt idx="9">
                  <c:v>5.95238095238095E-2</c:v>
                </c:pt>
                <c:pt idx="10">
                  <c:v>0.106508875739645</c:v>
                </c:pt>
                <c:pt idx="11">
                  <c:v>8.8785046728972E-2</c:v>
                </c:pt>
                <c:pt idx="12">
                  <c:v>8.8888888888888906E-2</c:v>
                </c:pt>
                <c:pt idx="13">
                  <c:v>0.27906976744186002</c:v>
                </c:pt>
                <c:pt idx="14">
                  <c:v>0.296296296296296</c:v>
                </c:pt>
                <c:pt idx="15">
                  <c:v>0.44827586206896602</c:v>
                </c:pt>
              </c:numCache>
            </c:numRef>
          </c:val>
        </c:ser>
        <c:dLbls>
          <c:showLegendKey val="0"/>
          <c:showVal val="0"/>
          <c:showCatName val="0"/>
          <c:showSerName val="0"/>
          <c:showPercent val="0"/>
          <c:showBubbleSize val="0"/>
        </c:dLbls>
        <c:gapWidth val="150"/>
        <c:shape val="box"/>
        <c:axId val="116387200"/>
        <c:axId val="116388992"/>
        <c:axId val="0"/>
      </c:bar3DChart>
      <c:catAx>
        <c:axId val="116387200"/>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16388992"/>
        <c:crosses val="autoZero"/>
        <c:auto val="1"/>
        <c:lblAlgn val="ctr"/>
        <c:lblOffset val="100"/>
        <c:noMultiLvlLbl val="0"/>
      </c:catAx>
      <c:valAx>
        <c:axId val="116388992"/>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1638720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userShapes r:id="rId2"/>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Number of Cases per Decade</a:t>
            </a:r>
            <a:r>
              <a:rPr lang="en-US" baseline="0"/>
              <a:t> and </a:t>
            </a:r>
          </a:p>
          <a:p>
            <a:pPr>
              <a:defRPr sz="1400" b="0" i="0" u="none" strike="noStrike" kern="1200" spc="0" baseline="0">
                <a:solidFill>
                  <a:schemeClr val="tx1">
                    <a:lumMod val="65000"/>
                    <a:lumOff val="35000"/>
                  </a:schemeClr>
                </a:solidFill>
                <a:latin typeface="+mn-lt"/>
                <a:ea typeface="+mn-ea"/>
                <a:cs typeface="+mn-cs"/>
              </a:defRPr>
            </a:pPr>
            <a:r>
              <a:rPr lang="en-US" baseline="0"/>
              <a:t>Percentage of 1 Vote Decisions</a:t>
            </a:r>
          </a:p>
          <a:p>
            <a:pPr>
              <a:defRPr sz="1400" b="0" i="0" u="none" strike="noStrike" kern="1200" spc="0" baseline="0">
                <a:solidFill>
                  <a:schemeClr val="tx1">
                    <a:lumMod val="65000"/>
                    <a:lumOff val="35000"/>
                  </a:schemeClr>
                </a:solidFill>
                <a:latin typeface="+mn-lt"/>
                <a:ea typeface="+mn-ea"/>
                <a:cs typeface="+mn-cs"/>
              </a:defRPr>
            </a:pPr>
            <a:endParaRPr lang="en-US"/>
          </a:p>
        </c:rich>
      </c:tx>
      <c:layout/>
      <c:overlay val="0"/>
      <c:spPr>
        <a:noFill/>
        <a:ln>
          <a:noFill/>
        </a:ln>
        <a:effectLst/>
      </c:spPr>
    </c:title>
    <c:autoTitleDeleted val="0"/>
    <c:plotArea>
      <c:layout/>
      <c:barChart>
        <c:barDir val="col"/>
        <c:grouping val="clustered"/>
        <c:varyColors val="0"/>
        <c:ser>
          <c:idx val="0"/>
          <c:order val="0"/>
          <c:tx>
            <c:v>Number</c:v>
          </c:tx>
          <c:spPr>
            <a:solidFill>
              <a:schemeClr val="accent1">
                <a:lumMod val="75000"/>
              </a:schemeClr>
            </a:solidFill>
            <a:ln>
              <a:solidFill>
                <a:schemeClr val="accent1">
                  <a:lumMod val="75000"/>
                </a:schemeClr>
              </a:solidFill>
            </a:ln>
            <a:effectLst/>
          </c:spPr>
          <c:invertIfNegative val="0"/>
          <c:cat>
            <c:strRef>
              <c:f>'[9-3 supplement.xlsx]Sheet1'!$K$2:$K$23</c:f>
              <c:strCache>
                <c:ptCount val="22"/>
                <c:pt idx="0">
                  <c:v>1800s</c:v>
                </c:pt>
                <c:pt idx="1">
                  <c:v>1810s</c:v>
                </c:pt>
                <c:pt idx="2">
                  <c:v>1820s</c:v>
                </c:pt>
                <c:pt idx="3">
                  <c:v>1830s</c:v>
                </c:pt>
                <c:pt idx="4">
                  <c:v>1840s</c:v>
                </c:pt>
                <c:pt idx="5">
                  <c:v>1850s</c:v>
                </c:pt>
                <c:pt idx="6">
                  <c:v>1860s</c:v>
                </c:pt>
                <c:pt idx="7">
                  <c:v>1870s</c:v>
                </c:pt>
                <c:pt idx="8">
                  <c:v>1880s</c:v>
                </c:pt>
                <c:pt idx="9">
                  <c:v>1890s</c:v>
                </c:pt>
                <c:pt idx="10">
                  <c:v>1900s</c:v>
                </c:pt>
                <c:pt idx="11">
                  <c:v>1910s</c:v>
                </c:pt>
                <c:pt idx="12">
                  <c:v>1920s</c:v>
                </c:pt>
                <c:pt idx="13">
                  <c:v>1930s</c:v>
                </c:pt>
                <c:pt idx="14">
                  <c:v>1940s</c:v>
                </c:pt>
                <c:pt idx="15">
                  <c:v>1950s</c:v>
                </c:pt>
                <c:pt idx="16">
                  <c:v>1960s</c:v>
                </c:pt>
                <c:pt idx="17">
                  <c:v>1970s</c:v>
                </c:pt>
                <c:pt idx="18">
                  <c:v>1980s</c:v>
                </c:pt>
                <c:pt idx="19">
                  <c:v>1990s</c:v>
                </c:pt>
                <c:pt idx="20">
                  <c:v>2000s</c:v>
                </c:pt>
                <c:pt idx="21">
                  <c:v>2010-2013</c:v>
                </c:pt>
              </c:strCache>
            </c:strRef>
          </c:cat>
          <c:val>
            <c:numRef>
              <c:f>'[9-3 supplement.xlsx]Sheet1'!$L$2:$L$23</c:f>
              <c:numCache>
                <c:formatCode>0.0</c:formatCode>
                <c:ptCount val="22"/>
                <c:pt idx="0">
                  <c:v>15.625</c:v>
                </c:pt>
                <c:pt idx="1">
                  <c:v>36.666666666666629</c:v>
                </c:pt>
                <c:pt idx="2">
                  <c:v>35</c:v>
                </c:pt>
                <c:pt idx="3">
                  <c:v>43.4</c:v>
                </c:pt>
                <c:pt idx="4">
                  <c:v>38.4</c:v>
                </c:pt>
                <c:pt idx="5">
                  <c:v>86.1</c:v>
                </c:pt>
                <c:pt idx="6">
                  <c:v>88.6</c:v>
                </c:pt>
                <c:pt idx="7">
                  <c:v>190.5</c:v>
                </c:pt>
                <c:pt idx="8">
                  <c:v>265.7</c:v>
                </c:pt>
                <c:pt idx="9">
                  <c:v>234.1</c:v>
                </c:pt>
                <c:pt idx="10">
                  <c:v>189.6</c:v>
                </c:pt>
                <c:pt idx="11">
                  <c:v>224.2</c:v>
                </c:pt>
                <c:pt idx="12">
                  <c:v>190.2</c:v>
                </c:pt>
                <c:pt idx="13">
                  <c:v>152</c:v>
                </c:pt>
                <c:pt idx="14">
                  <c:v>135</c:v>
                </c:pt>
                <c:pt idx="15">
                  <c:v>105</c:v>
                </c:pt>
                <c:pt idx="16">
                  <c:v>114.3</c:v>
                </c:pt>
                <c:pt idx="17">
                  <c:v>141.5</c:v>
                </c:pt>
                <c:pt idx="18">
                  <c:v>145.1</c:v>
                </c:pt>
                <c:pt idx="19">
                  <c:v>91</c:v>
                </c:pt>
                <c:pt idx="20">
                  <c:v>74.8</c:v>
                </c:pt>
                <c:pt idx="21">
                  <c:v>71.5</c:v>
                </c:pt>
              </c:numCache>
            </c:numRef>
          </c:val>
        </c:ser>
        <c:dLbls>
          <c:showLegendKey val="0"/>
          <c:showVal val="0"/>
          <c:showCatName val="0"/>
          <c:showSerName val="0"/>
          <c:showPercent val="0"/>
          <c:showBubbleSize val="0"/>
        </c:dLbls>
        <c:gapWidth val="220"/>
        <c:axId val="134218880"/>
        <c:axId val="134208896"/>
      </c:barChart>
      <c:lineChart>
        <c:grouping val="standard"/>
        <c:varyColors val="0"/>
        <c:ser>
          <c:idx val="1"/>
          <c:order val="1"/>
          <c:tx>
            <c:v>Percentage</c:v>
          </c:tx>
          <c:spPr>
            <a:ln w="28575" cap="rnd">
              <a:solidFill>
                <a:schemeClr val="accent2"/>
              </a:solidFill>
              <a:round/>
            </a:ln>
            <a:effectLst/>
          </c:spPr>
          <c:marker>
            <c:symbol val="none"/>
          </c:marker>
          <c:cat>
            <c:strRef>
              <c:f>'[9-3 supplement.xlsx]Sheet1'!$K$2:$K$23</c:f>
              <c:strCache>
                <c:ptCount val="22"/>
                <c:pt idx="0">
                  <c:v>1800s</c:v>
                </c:pt>
                <c:pt idx="1">
                  <c:v>1810s</c:v>
                </c:pt>
                <c:pt idx="2">
                  <c:v>1820s</c:v>
                </c:pt>
                <c:pt idx="3">
                  <c:v>1830s</c:v>
                </c:pt>
                <c:pt idx="4">
                  <c:v>1840s</c:v>
                </c:pt>
                <c:pt idx="5">
                  <c:v>1850s</c:v>
                </c:pt>
                <c:pt idx="6">
                  <c:v>1860s</c:v>
                </c:pt>
                <c:pt idx="7">
                  <c:v>1870s</c:v>
                </c:pt>
                <c:pt idx="8">
                  <c:v>1880s</c:v>
                </c:pt>
                <c:pt idx="9">
                  <c:v>1890s</c:v>
                </c:pt>
                <c:pt idx="10">
                  <c:v>1900s</c:v>
                </c:pt>
                <c:pt idx="11">
                  <c:v>1910s</c:v>
                </c:pt>
                <c:pt idx="12">
                  <c:v>1920s</c:v>
                </c:pt>
                <c:pt idx="13">
                  <c:v>1930s</c:v>
                </c:pt>
                <c:pt idx="14">
                  <c:v>1940s</c:v>
                </c:pt>
                <c:pt idx="15">
                  <c:v>1950s</c:v>
                </c:pt>
                <c:pt idx="16">
                  <c:v>1960s</c:v>
                </c:pt>
                <c:pt idx="17">
                  <c:v>1970s</c:v>
                </c:pt>
                <c:pt idx="18">
                  <c:v>1980s</c:v>
                </c:pt>
                <c:pt idx="19">
                  <c:v>1990s</c:v>
                </c:pt>
                <c:pt idx="20">
                  <c:v>2000s</c:v>
                </c:pt>
                <c:pt idx="21">
                  <c:v>2010-2013</c:v>
                </c:pt>
              </c:strCache>
            </c:strRef>
          </c:cat>
          <c:val>
            <c:numRef>
              <c:f>'[9-3 supplement.xlsx]Sheet1'!$M$2:$M$23</c:f>
              <c:numCache>
                <c:formatCode>0.0%</c:formatCode>
                <c:ptCount val="22"/>
                <c:pt idx="0">
                  <c:v>2.4375000000000001E-2</c:v>
                </c:pt>
                <c:pt idx="1">
                  <c:v>1.7888888888888899E-2</c:v>
                </c:pt>
                <c:pt idx="2">
                  <c:v>2.1000000000000001E-2</c:v>
                </c:pt>
                <c:pt idx="3">
                  <c:v>2.0299999999999999E-2</c:v>
                </c:pt>
                <c:pt idx="4">
                  <c:v>9.7999999999999997E-3</c:v>
                </c:pt>
                <c:pt idx="5">
                  <c:v>1.55E-2</c:v>
                </c:pt>
                <c:pt idx="6">
                  <c:v>1.03E-2</c:v>
                </c:pt>
                <c:pt idx="7">
                  <c:v>1.14E-2</c:v>
                </c:pt>
                <c:pt idx="8">
                  <c:v>5.5999999999999999E-3</c:v>
                </c:pt>
                <c:pt idx="9">
                  <c:v>1.5299999999999999E-2</c:v>
                </c:pt>
                <c:pt idx="10">
                  <c:v>3.3399999999999999E-2</c:v>
                </c:pt>
                <c:pt idx="11">
                  <c:v>2.3E-2</c:v>
                </c:pt>
                <c:pt idx="12">
                  <c:v>1.1599999999999999E-2</c:v>
                </c:pt>
                <c:pt idx="13">
                  <c:v>3.8300000000000001E-2</c:v>
                </c:pt>
                <c:pt idx="14">
                  <c:v>0.12989999999999999</c:v>
                </c:pt>
                <c:pt idx="15">
                  <c:v>0.1394</c:v>
                </c:pt>
                <c:pt idx="16">
                  <c:v>9.2100000000000001E-2</c:v>
                </c:pt>
                <c:pt idx="17">
                  <c:v>0.1724</c:v>
                </c:pt>
                <c:pt idx="18">
                  <c:v>0.2</c:v>
                </c:pt>
                <c:pt idx="19">
                  <c:v>0.1789</c:v>
                </c:pt>
                <c:pt idx="20">
                  <c:v>0.23430000000000001</c:v>
                </c:pt>
                <c:pt idx="21">
                  <c:v>0.20824999999999999</c:v>
                </c:pt>
              </c:numCache>
            </c:numRef>
          </c:val>
          <c:smooth val="0"/>
        </c:ser>
        <c:dLbls>
          <c:showLegendKey val="0"/>
          <c:showVal val="0"/>
          <c:showCatName val="0"/>
          <c:showSerName val="0"/>
          <c:showPercent val="0"/>
          <c:showBubbleSize val="0"/>
        </c:dLbls>
        <c:marker val="1"/>
        <c:smooth val="0"/>
        <c:axId val="134222208"/>
        <c:axId val="134220416"/>
      </c:lineChart>
      <c:valAx>
        <c:axId val="134208896"/>
        <c:scaling>
          <c:orientation val="minMax"/>
        </c:scaling>
        <c:delete val="0"/>
        <c:axPos val="l"/>
        <c:numFmt formatCode="0.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34218880"/>
        <c:crosses val="autoZero"/>
        <c:crossBetween val="between"/>
      </c:valAx>
      <c:catAx>
        <c:axId val="134218880"/>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34208896"/>
        <c:crosses val="autoZero"/>
        <c:auto val="1"/>
        <c:lblAlgn val="ctr"/>
        <c:lblOffset val="100"/>
        <c:noMultiLvlLbl val="0"/>
      </c:catAx>
      <c:valAx>
        <c:axId val="134220416"/>
        <c:scaling>
          <c:orientation val="minMax"/>
        </c:scaling>
        <c:delete val="0"/>
        <c:axPos val="r"/>
        <c:numFmt formatCode="0.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34222208"/>
        <c:crosses val="max"/>
        <c:crossBetween val="between"/>
      </c:valAx>
      <c:catAx>
        <c:axId val="134222208"/>
        <c:scaling>
          <c:orientation val="minMax"/>
        </c:scaling>
        <c:delete val="1"/>
        <c:axPos val="b"/>
        <c:numFmt formatCode="General" sourceLinked="1"/>
        <c:majorTickMark val="out"/>
        <c:minorTickMark val="none"/>
        <c:tickLblPos val="nextTo"/>
        <c:crossAx val="134220416"/>
        <c:crosses val="autoZero"/>
        <c:auto val="1"/>
        <c:lblAlgn val="ctr"/>
        <c:lblOffset val="100"/>
        <c:noMultiLvlLbl val="0"/>
      </c:catAx>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0.14537</cdr:x>
      <cdr:y>0.56944</cdr:y>
    </cdr:from>
    <cdr:to>
      <cdr:x>0.92511</cdr:x>
      <cdr:y>0.56944</cdr:y>
    </cdr:to>
    <cdr:cxnSp macro="">
      <cdr:nvCxnSpPr>
        <cdr:cNvPr id="3" name="Straight Connector 2"/>
        <cdr:cNvCxnSpPr/>
      </cdr:nvCxnSpPr>
      <cdr:spPr>
        <a:xfrm xmlns:a="http://schemas.openxmlformats.org/drawingml/2006/main">
          <a:off x="628650" y="1562100"/>
          <a:ext cx="3371850" cy="0"/>
        </a:xfrm>
        <a:prstGeom xmlns:a="http://schemas.openxmlformats.org/drawingml/2006/main" prst="line">
          <a:avLst/>
        </a:prstGeom>
        <a:ln xmlns:a="http://schemas.openxmlformats.org/drawingml/2006/main" w="19050"/>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14</TotalTime>
  <Pages>10</Pages>
  <Words>1616</Words>
  <Characters>9214</Characters>
  <Application>Microsoft Office Word</Application>
  <DocSecurity>0</DocSecurity>
  <Lines>76</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10809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MyBuild</dc:creator>
  <cp:keywords/>
  <dc:description/>
  <cp:lastModifiedBy>ahughes</cp:lastModifiedBy>
  <cp:revision>5</cp:revision>
  <dcterms:created xsi:type="dcterms:W3CDTF">2015-05-20T18:57:00Z</dcterms:created>
  <dcterms:modified xsi:type="dcterms:W3CDTF">2015-07-16T20:28:00Z</dcterms:modified>
</cp:coreProperties>
</file>